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Canonical card dataset — field guide</w:t>
      </w:r>
    </w:p>
    <w:p>
      <w:r>
        <w:t>cards.jsonl contains 108 cards, with one JSON object per line. Each card keeps a clinical topic, its conditions, actions, and source evidence together.</w:t>
      </w:r>
    </w:p>
    <w:p>
      <w:pPr>
        <w:pStyle w:val="Heading1"/>
      </w:pPr>
      <w:r>
        <w:t>1. The fields used most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480"/>
      </w:tblGrid>
      <w:tr>
        <w:trPr>
          <w:cantSplit/>
        </w:trPr>
        <w:tc>
          <w:tcPr>
            <w:tcW w:type="dxa" w:w="5184"/>
          </w:tcPr>
          <w:p>
            <w:pPr>
              <w:spacing w:after="60"/>
            </w:pPr>
            <w:r>
              <w:rPr>
                <w:sz w:val="18"/>
              </w:rPr>
              <w:t>Field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8"/>
              </w:rPr>
              <w:t>Meaning and use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card_id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Unique reference used to identify and cite a card.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disease_protocol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Protocol name; helps retrieve and filter relevant cards.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card_title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Short topic name; helps semantic and keyword matching.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clinical_category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Diagnosis, Investigation, Medication, Advice, or Reference-only; separates retrieval by purpose.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clinical_classification_presentation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Clinical stage or presentation; helps match the patient’s situation.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relevant_symptoms_or_prerequisites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Symptoms and requirements; an important part of searchable text.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recommended_action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Main guidance; supports management retrieval and response generation.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conditions_decision_logic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Individual conditions and actions; checks which instructions apply.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exceptions_contraindications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Restrictions and interpretation cautions; supports safety checks.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exact_supporting_evidence_passages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Source quotes; supports citations and checking the recommendation.</w:t>
            </w:r>
          </w:p>
        </w:tc>
      </w:tr>
    </w:tbl>
    <w:p>
      <w:r>
        <w:t>Embedding search mainly uses the protocol, title, prerequisites, presentation, and—for management cards—a shortened action. Other fields support filtering, rule checks, and evidence delivery.</w:t>
      </w:r>
    </w:p>
    <w:p>
      <w:pPr>
        <w:pStyle w:val="Heading1"/>
      </w:pPr>
      <w:r>
        <w:t>2. Other fields and subfields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6480"/>
      </w:tblGrid>
      <w:tr>
        <w:trPr>
          <w:cantSplit/>
        </w:trPr>
        <w:tc>
          <w:tcPr>
            <w:tcW w:type="dxa" w:w="5184"/>
          </w:tcPr>
          <w:p>
            <w:pPr>
              <w:spacing w:after="60"/>
            </w:pPr>
            <w:r>
              <w:rPr>
                <w:sz w:val="18"/>
              </w:rPr>
              <w:t>Field</w:t>
            </w:r>
          </w:p>
        </w:tc>
        <w:tc>
          <w:tcPr>
            <w:tcW w:type="dxa" w:w="5184"/>
          </w:tcPr>
          <w:p>
            <w:pPr>
              <w:spacing w:after="60"/>
            </w:pPr>
            <w:r>
              <w:rPr>
                <w:sz w:val="18"/>
              </w:rPr>
              <w:t>Meaning and use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source_pdf_title; source_version_edition; pdf_page_numbers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Document name, edition, and cited PDF pages.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Evidence: pdf_page; passage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Page number and exact supporting text.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Rule: rule_id; condition; action; result; source_page(s)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Rule identifier, eligibility test, action, readable instruction, and source location.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Condition: field; operator; value; all; any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Fact to check, comparison, expected value, and AND/OR grouping.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if_else_conditions_and_corresponding_actions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Alternative branches using if and then; sometimes includes missing-data handling.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Exception: exception_id; condition; interpretation; action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Restriction identifier, trigger, meaning, and response. Some entries also identify related rules.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table_dependent_rules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Source table rows: age bands, weight ranges, fluid volumes, and durations. Structure varies by card.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medication_details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Medicine/fluid, dose, route, frequency, duration, and precautions where provided. May contain separate entries for several medicines.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exclusions_or_missing_information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Limits or details the source does not provide.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additional_information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Notes, related cards, cross-references, and implementation context. Subfields vary by topic.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image; image_related_info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Optional image reference and figure/table description; not image interpretation.</w:t>
            </w:r>
          </w:p>
        </w:tc>
      </w:tr>
      <w:tr>
        <w:trPr>
          <w:cantSplit/>
        </w:trPr>
        <w:tc>
          <w:tcPr>
            <w:tcW w:type="dxa" w:w="3528"/>
          </w:tcPr>
          <w:p>
            <w:pPr>
              <w:spacing w:after="60"/>
            </w:pPr>
            <w:r>
              <w:rPr>
                <w:sz w:val="18"/>
              </w:rPr>
              <w:t>verified</w:t>
            </w:r>
          </w:p>
        </w:tc>
        <w:tc>
          <w:tcPr>
            <w:tcW w:type="dxa" w:w="6480"/>
          </w:tcPr>
          <w:p>
            <w:pPr>
              <w:spacing w:after="60"/>
            </w:pPr>
            <w:r>
              <w:rPr>
                <w:sz w:val="18"/>
              </w:rPr>
              <w:t>Dataset review flag used when building the main index; not a guarantee of clinical correctness.</w:t>
            </w:r>
          </w:p>
        </w:tc>
      </w:tr>
    </w:tbl>
    <w:p>
      <w:pPr>
        <w:pStyle w:val="Heading2"/>
      </w:pPr>
      <w:r>
        <w:t>Reasoning example</w:t>
      </w:r>
    </w:p>
    <w:p>
      <w:r>
        <w:t>An ORS card contains several age bands. Keeping only one paragraph is simple, but may show every age-specific instruction. Separate conditions and table rows allow the system to select the matching age clause while still checking the parent requirement: whether the patient can drink safely. For a 37-year-old, the 10-years-and-older clause matches; unknown drinking safety keeps it conditional.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6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6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