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Six Tested Cases — Expected Results</w:t>
      </w:r>
    </w:p>
    <w:p>
      <w:r>
        <w:t>Source-linked expectations only; no observed outputs or pass/fail scores. Inputs are condensed from the six supplied tested cases. The JSON file preserves the exact entered values.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2016"/>
        <w:gridCol w:w="2736"/>
        <w:gridCol w:w="3672"/>
        <w:gridCol w:w="2938"/>
      </w:tblGrid>
      <w:tr>
        <w:trPr>
          <w:tblHeader/>
        </w:trPr>
        <w:tc>
          <w:tcPr>
            <w:tcW w:type="dxa" w:w="4320"/>
            <w:shd w:fill="EAF5F4"/>
          </w:tcPr>
          <w:p>
            <w:pPr>
              <w:spacing w:after="60"/>
            </w:pPr>
            <w:r>
              <w:rPr>
                <w:b/>
                <w:sz w:val="17"/>
              </w:rPr>
              <w:t>Input</w:t>
            </w:r>
          </w:p>
        </w:tc>
        <w:tc>
          <w:tcPr>
            <w:tcW w:type="dxa" w:w="2016"/>
            <w:shd w:fill="EAF5F4"/>
          </w:tcPr>
          <w:p>
            <w:pPr>
              <w:spacing w:after="60"/>
            </w:pPr>
            <w:r>
              <w:rPr>
                <w:b/>
                <w:sz w:val="17"/>
              </w:rPr>
              <w:t>Diagnosis</w:t>
            </w:r>
          </w:p>
        </w:tc>
        <w:tc>
          <w:tcPr>
            <w:tcW w:type="dxa" w:w="2736"/>
            <w:shd w:fill="EAF5F4"/>
          </w:tcPr>
          <w:p>
            <w:pPr>
              <w:spacing w:after="60"/>
            </w:pPr>
            <w:r>
              <w:rPr>
                <w:b/>
                <w:sz w:val="17"/>
              </w:rPr>
              <w:t>Investigation</w:t>
            </w:r>
          </w:p>
        </w:tc>
        <w:tc>
          <w:tcPr>
            <w:tcW w:type="dxa" w:w="3672"/>
            <w:shd w:fill="EAF5F4"/>
          </w:tcPr>
          <w:p>
            <w:pPr>
              <w:spacing w:after="60"/>
            </w:pPr>
            <w:r>
              <w:rPr>
                <w:b/>
                <w:sz w:val="17"/>
              </w:rPr>
              <w:t>Treatment</w:t>
            </w:r>
          </w:p>
        </w:tc>
        <w:tc>
          <w:tcPr>
            <w:tcW w:type="dxa" w:w="2938"/>
            <w:shd w:fill="EAF5F4"/>
          </w:tcPr>
          <w:p>
            <w:pPr>
              <w:spacing w:after="60"/>
            </w:pPr>
            <w:r>
              <w:rPr>
                <w:b/>
                <w:sz w:val="17"/>
              </w:rPr>
              <w:t>Advice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7"/>
              </w:rPr>
              <w:t>C1: 32 F; 3 days. High fever, severe wrist/knee/ankle joint pain, headache, rash. Swollen tender joints; no reported bleeding. T 39°C, BP 115/75, SpO2 98%. No liver/kidney disease.</w:t>
            </w:r>
          </w:p>
        </w:tc>
        <w:tc>
          <w:tcPr>
            <w:tcW w:type="dxa" w:w="2016"/>
          </w:tcPr>
          <w:p>
            <w:pPr>
              <w:spacing w:after="60"/>
            </w:pPr>
            <w:r>
              <w:rPr>
                <w:sz w:val="17"/>
              </w:rPr>
              <w:t>Chikungunya plausible; dengue differential acceptable; not confirmed.</w:t>
            </w:r>
          </w:p>
        </w:tc>
        <w:tc>
          <w:tcPr>
            <w:tcW w:type="dxa" w:w="2736"/>
          </w:tcPr>
          <w:p>
            <w:pPr>
              <w:spacing w:after="60"/>
            </w:pPr>
            <w:r>
              <w:rPr>
                <w:sz w:val="17"/>
              </w:rPr>
              <w:t>Day-3 early RT-PCR (within 5 days); relevant laboratory assessment.</w:t>
            </w:r>
          </w:p>
        </w:tc>
        <w:tc>
          <w:tcPr>
            <w:tcW w:type="dxa" w:w="3672"/>
          </w:tcPr>
          <w:p>
            <w:pPr>
              <w:spacing w:after="60"/>
            </w:pPr>
            <w:r>
              <w:rPr>
                <w:sz w:val="17"/>
              </w:rPr>
              <w:t>Paracetamol source guidance only after liver/kidney checks. Avoid acute aspirin/NSAIDs; later NSAID eligibility requires the source conditions, including dengue exclusion. No invented regimen.</w:t>
            </w:r>
          </w:p>
        </w:tc>
        <w:tc>
          <w:tcPr>
            <w:tcW w:type="dxa" w:w="2938"/>
          </w:tcPr>
          <w:p>
            <w:pPr>
              <w:spacing w:after="60"/>
            </w:pPr>
            <w:r>
              <w:rPr>
                <w:sz w:val="17"/>
              </w:rPr>
              <w:t>Cold compresses; avoid heat in the acute stage. Applicable supportive care; admission criteria for review.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7"/>
              </w:rPr>
              <w:t>C2: 25 F; 4 days. High fever, severe headache, retro-orbital pain, myalgia, nausea, rash. Mild dehydration; no severe joint swelling or bleeding. T 39.2°C, BP 110/70, SpO2 99%. No known chronic disease.</w:t>
            </w:r>
          </w:p>
        </w:tc>
        <w:tc>
          <w:tcPr>
            <w:tcW w:type="dxa" w:w="2016"/>
          </w:tcPr>
          <w:p>
            <w:pPr>
              <w:spacing w:after="60"/>
            </w:pPr>
            <w:r>
              <w:rPr>
                <w:sz w:val="17"/>
              </w:rPr>
              <w:t>Suspected/possible dengue; chikungunya may remain a differential. No laboratory confirmation.</w:t>
            </w:r>
          </w:p>
        </w:tc>
        <w:tc>
          <w:tcPr>
            <w:tcW w:type="dxa" w:w="2736"/>
          </w:tcPr>
          <w:p>
            <w:pPr>
              <w:spacing w:after="60"/>
            </w:pPr>
            <w:r>
              <w:rPr>
                <w:sz w:val="17"/>
              </w:rPr>
              <w:t>CBC including platelets, haematocrit and early NS1 guidance. A negative NS1 does not exclude dengue.</w:t>
            </w:r>
          </w:p>
        </w:tc>
        <w:tc>
          <w:tcPr>
            <w:tcW w:type="dxa" w:w="3672"/>
          </w:tcPr>
          <w:p>
            <w:pPr>
              <w:spacing w:after="60"/>
            </w:pPr>
            <w:r>
              <w:rPr>
                <w:sz w:val="17"/>
              </w:rPr>
              <w:t>Source-supported fever care/paracetamol subject to eligibility; avoid NSAIDs and steroids. Preserve antithrombotic review precautions where relevant.</w:t>
            </w:r>
          </w:p>
        </w:tc>
        <w:tc>
          <w:tcPr>
            <w:tcW w:type="dxa" w:w="2938"/>
          </w:tcPr>
          <w:p>
            <w:pPr>
              <w:spacing w:after="60"/>
            </w:pPr>
            <w:r>
              <w:rPr>
                <w:sz w:val="17"/>
              </w:rPr>
              <w:t>Hydration and warning-sign education. Home versus inpatient management remains conditional on assessment.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7"/>
              </w:rPr>
              <w:t>C3: 37 F; 12 hours. Rice-water diarrhoea, vomiting, thirst, weakness, cramps. Sunken eyes, dry mouth, low urine, weak rapid pulse. BP 90/60, pulse 118, T 37°C. Untreated-water exposure.</w:t>
            </w:r>
          </w:p>
        </w:tc>
        <w:tc>
          <w:tcPr>
            <w:tcW w:type="dxa" w:w="2016"/>
          </w:tcPr>
          <w:p>
            <w:pPr>
              <w:spacing w:after="60"/>
            </w:pPr>
            <w:r>
              <w:rPr>
                <w:sz w:val="17"/>
              </w:rPr>
              <w:t>Suspected/possible cholera with severe-dehydration assessment; not confirmed.</w:t>
            </w:r>
          </w:p>
        </w:tc>
        <w:tc>
          <w:tcPr>
            <w:tcW w:type="dxa" w:w="2736"/>
          </w:tcPr>
          <w:p>
            <w:pPr>
              <w:spacing w:after="60"/>
            </w:pPr>
            <w:r>
              <w:rPr>
                <w:sz w:val="17"/>
              </w:rPr>
              <w:t>Dehydration assessment. Flag missing weight/glucose when relevant; no mandatory stool-test expectation from this corpus.</w:t>
            </w:r>
          </w:p>
        </w:tc>
        <w:tc>
          <w:tcPr>
            <w:tcW w:type="dxa" w:w="3672"/>
          </w:tcPr>
          <w:p>
            <w:pPr>
              <w:spacing w:after="60"/>
            </w:pPr>
            <w:r>
              <w:rPr>
                <w:sz w:val="17"/>
              </w:rPr>
              <w:t>Plan C/Ringer's lactate: 30 mL/kg over 30 min, then 70 mL/kg over 2.5 h, when applicable. ORS only if safe drinking established. No unassessed weight-table dose or automatic dextrose.</w:t>
            </w:r>
          </w:p>
        </w:tc>
        <w:tc>
          <w:tcPr>
            <w:tcW w:type="dxa" w:w="2938"/>
          </w:tcPr>
          <w:p>
            <w:pPr>
              <w:spacing w:after="60"/>
            </w:pPr>
            <w:r>
              <w:rPr>
                <w:sz w:val="17"/>
              </w:rPr>
              <w:t>Reassess every 15–30 min. Transition to Plan B only when improvement criteria are met. Do not assume discharge eligibility.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7"/>
              </w:rPr>
              <w:t>C4: 52 F; 3 weeks. Morning headache, dizziness; no fever/chest pain. Alert; no focal deficit or breathlessness. BP 158/96, repeat 156/94 after rest; pulse 78. Repeated high BP; family history.</w:t>
            </w:r>
          </w:p>
        </w:tc>
        <w:tc>
          <w:tcPr>
            <w:tcW w:type="dxa" w:w="2016"/>
          </w:tcPr>
          <w:p>
            <w:pPr>
              <w:spacing w:after="60"/>
            </w:pPr>
            <w:r>
              <w:rPr>
                <w:sz w:val="17"/>
              </w:rPr>
              <w:t>Raised BP/suspected hypertension, not hypertensive emergency. Confirmation and risk assessment needed.</w:t>
            </w:r>
          </w:p>
        </w:tc>
        <w:tc>
          <w:tcPr>
            <w:tcW w:type="dxa" w:w="2736"/>
          </w:tcPr>
          <w:p>
            <w:pPr>
              <w:spacing w:after="60"/>
            </w:pPr>
            <w:r>
              <w:rPr>
                <w:sz w:val="17"/>
              </w:rPr>
              <w:t>Sodium, potassium, creatinine/eGFR, urine dipstick and ECG; lipids and fasting glucose if available.</w:t>
            </w:r>
          </w:p>
        </w:tc>
        <w:tc>
          <w:tcPr>
            <w:tcW w:type="dxa" w:w="3672"/>
          </w:tcPr>
          <w:p>
            <w:pPr>
              <w:spacing w:after="60"/>
            </w:pPr>
            <w:r>
              <w:rPr>
                <w:sz w:val="17"/>
              </w:rPr>
              <w:t>For this BP band: lifestyle measures and review at 2 weeks. Drug initiation/escalation requires the appropriate stage and safety checks. No unsafe losartan/ACEi/ARB recommendation.</w:t>
            </w:r>
          </w:p>
        </w:tc>
        <w:tc>
          <w:tcPr>
            <w:tcW w:type="dxa" w:w="2938"/>
          </w:tcPr>
          <w:p>
            <w:pPr>
              <w:spacing w:after="60"/>
            </w:pPr>
            <w:r>
              <w:rPr>
                <w:sz w:val="17"/>
              </w:rPr>
              <w:t>BP follow-up and lifestyle advice. Target depends on assessed risk. Do not infer pregnancy/childbearing status from age alone.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7"/>
              </w:rPr>
              <w:t>C5: 29 M; 2 days. Sudden fever, headache, joint/muscle pain, rash, nausea. Joint pain without clear swelling; no reported bleeding. T 39°C, BP 110/75. Mosquito exposure; no known chronic disease.</w:t>
            </w:r>
          </w:p>
        </w:tc>
        <w:tc>
          <w:tcPr>
            <w:tcW w:type="dxa" w:w="2016"/>
          </w:tcPr>
          <w:p>
            <w:pPr>
              <w:spacing w:after="60"/>
            </w:pPr>
            <w:r>
              <w:rPr>
                <w:sz w:val="17"/>
              </w:rPr>
              <w:t>Dengue/chikungunya uncertainty; no single confirmed label. Clinician selection remains separate.</w:t>
            </w:r>
          </w:p>
        </w:tc>
        <w:tc>
          <w:tcPr>
            <w:tcW w:type="dxa" w:w="2736"/>
          </w:tcPr>
          <w:p>
            <w:pPr>
              <w:spacing w:after="60"/>
            </w:pPr>
            <w:r>
              <w:rPr>
                <w:sz w:val="17"/>
              </w:rPr>
              <w:t>Relevant day-2 tests: early dengue NS1/CBC-Hct and/or chikungunya RT-PCR within 5 days, with source-supported purpose. Clarify missing results when needed.</w:t>
            </w:r>
          </w:p>
        </w:tc>
        <w:tc>
          <w:tcPr>
            <w:tcW w:type="dxa" w:w="3672"/>
          </w:tcPr>
          <w:p>
            <w:pPr>
              <w:spacing w:after="60"/>
            </w:pPr>
            <w:r>
              <w:rPr>
                <w:sz w:val="17"/>
              </w:rPr>
              <w:t>Paracetamol only after relevant restriction checks; retain dengue medication precautions. Do not treat unknown information as negative.</w:t>
            </w:r>
          </w:p>
        </w:tc>
        <w:tc>
          <w:tcPr>
            <w:tcW w:type="dxa" w:w="2938"/>
          </w:tcPr>
          <w:p>
            <w:pPr>
              <w:spacing w:after="60"/>
            </w:pPr>
            <w:r>
              <w:rPr>
                <w:sz w:val="17"/>
              </w:rPr>
              <w:t>Warning signs and hydration guidance with eligibility stated. Optional questions clarify treatment; they do not automatically confirm a diagnosis.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7"/>
              </w:rPr>
              <w:t>C6: 32 F; 3 days. Same fever, joint-pain, rash and measurements as C1. Known pre-existing liver disease; no pre-existing kidney disease. Medicines: None. Allergies: Unknown.</w:t>
            </w:r>
          </w:p>
        </w:tc>
        <w:tc>
          <w:tcPr>
            <w:tcW w:type="dxa" w:w="2016"/>
          </w:tcPr>
          <w:p>
            <w:pPr>
              <w:spacing w:after="60"/>
            </w:pPr>
            <w:r>
              <w:rPr>
                <w:sz w:val="17"/>
              </w:rPr>
              <w:t>Chikungunya plausible; dengue differential remains. Liver history alone should not determine a different infection.</w:t>
            </w:r>
          </w:p>
        </w:tc>
        <w:tc>
          <w:tcPr>
            <w:tcW w:type="dxa" w:w="2736"/>
          </w:tcPr>
          <w:p>
            <w:pPr>
              <w:spacing w:after="60"/>
            </w:pPr>
            <w:r>
              <w:rPr>
                <w:sz w:val="17"/>
              </w:rPr>
              <w:t>Day-3 RT-PCR guidance remains relevant.</w:t>
            </w:r>
          </w:p>
        </w:tc>
        <w:tc>
          <w:tcPr>
            <w:tcW w:type="dxa" w:w="3672"/>
          </w:tcPr>
          <w:p>
            <w:pPr>
              <w:spacing w:after="60"/>
            </w:pPr>
            <w:r>
              <w:rPr>
                <w:sz w:val="17"/>
              </w:rPr>
              <w:t>Paracetamol instruction restricted: clinician review required; no automatically approved regimen. Acute NSAID precautions remain.</w:t>
            </w:r>
          </w:p>
        </w:tc>
        <w:tc>
          <w:tcPr>
            <w:tcW w:type="dxa" w:w="2938"/>
          </w:tcPr>
          <w:p>
            <w:pPr>
              <w:spacing w:after="60"/>
            </w:pPr>
            <w:r>
              <w:rPr>
                <w:sz w:val="17"/>
              </w:rPr>
              <w:t>Independent supportive advice should remain when applicable: cold compresses and avoiding acute heat. Do not suppress every instruction.</w:t>
            </w:r>
          </w:p>
        </w:tc>
      </w:tr>
    </w:tbl>
    <w:p>
      <w:pPr>
        <w:pStyle w:val="Heading2"/>
      </w:pPr>
      <w:r>
        <w:t>Source references (PDF page positions)</w:t>
      </w:r>
    </w:p>
    <w:p>
      <w:r>
        <w:rPr>
          <w:sz w:val="16"/>
        </w:rPr>
        <w:t>C1/C6: CHI-011 p11; CHI-014 p18–19; CHI-015 p18–20; CHI-017 p19; CHI-023 p22; CHI-026 p18.</w:t>
      </w:r>
    </w:p>
    <w:p>
      <w:r>
        <w:rPr>
          <w:sz w:val="16"/>
        </w:rPr>
        <w:t>C2: DEN-CASE-001 p45; DEN-INV-001 p41; DEN-INV-005 p39; DEN-MED-001 p47–48; DEN-HOME-001 p47; DEN-RETURN-001 p48.</w:t>
      </w:r>
    </w:p>
    <w:p>
      <w:r>
        <w:rPr>
          <w:sz w:val="16"/>
        </w:rPr>
        <w:t>C3: CHO-001 p5; CHO-002 p5–6; CHO-004 p7; CHO-005 p8; CHO-010 p5,7; CHO-012 p5; CHO-020/021 p13.</w:t>
      </w:r>
    </w:p>
    <w:p>
      <w:r>
        <w:rPr>
          <w:sz w:val="16"/>
        </w:rPr>
        <w:t>C4: HTN-001 p46–47; HTN-014 p51; HTN-018/019/021/022 p64.</w:t>
      </w:r>
    </w:p>
    <w:p>
      <w:r>
        <w:rPr>
          <w:sz w:val="16"/>
        </w:rPr>
        <w:t>C5: DEN-DIFF-001 p37–38; CHI-026 p17–18; DEN-INV-001 p41; CHI-023 p22; DEN-MED-001 p48.</w:t>
      </w:r>
    </w:p>
    <w:p>
      <w:r>
        <w:t>Common details: medicines were None in all six inputs. Allergies were omitted in C1–C3, No known allergies in C4/C5, and Unknown in C6. C2/C3/C5 use the age/sex actually tested, not the earlier draft variants. These expectations are for prototype evaluation, not patient-care instructions.</w:t>
      </w:r>
    </w:p>
    <w:sectPr w:rsidR="00FC693F" w:rsidRPr="0006063C" w:rsidSect="00034616">
      <w:pgSz w:w="16834" w:h="11909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