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Baseline — observed outputs</w:t>
      </w:r>
    </w:p>
    <w:p>
      <w:r>
        <w:t>Case numbers match the Improved results table. This table summarizes the supplied Baseline excerpts, not expected or clinically validated results. Doses below are recorded model outputs, not treatment instructions. No question/answer updates were supplied for Baseline.</w:t>
      </w:r>
    </w:p>
    <w:tbl>
      <w:tblPr>
        <w:tblStyle w:val="LightShading-Accent1"/>
        <w:tblW w:type="auto" w:w="0"/>
        <w:tblLayout w:type="fixed"/>
        <w:tblLook w:firstColumn="1" w:firstRow="1" w:lastColumn="0" w:lastRow="0" w:noHBand="0" w:noVBand="1" w:val="04A0"/>
      </w:tblPr>
      <w:tblGrid>
        <w:gridCol w:w="2232"/>
        <w:gridCol w:w="1944"/>
        <w:gridCol w:w="2592"/>
        <w:gridCol w:w="2736"/>
        <w:gridCol w:w="2736"/>
        <w:gridCol w:w="2016"/>
      </w:tblGrid>
      <w:tr>
        <w:trPr>
          <w:tblHeader/>
          <w:cantSplit/>
        </w:trPr>
        <w:tc>
          <w:tcPr>
            <w:tcW w:type="dxa" w:w="2232"/>
          </w:tcPr>
          <w:p>
            <w:pPr>
              <w:spacing w:after="80"/>
            </w:pPr>
            <w:r>
              <w:rPr>
                <w:sz w:val="18"/>
              </w:rPr>
              <w:t>Case / supplied input</w:t>
            </w:r>
          </w:p>
        </w:tc>
        <w:tc>
          <w:tcPr>
            <w:tcW w:type="dxa" w:w="1944"/>
          </w:tcPr>
          <w:p>
            <w:pPr>
              <w:spacing w:after="80"/>
            </w:pPr>
            <w:r>
              <w:rPr>
                <w:sz w:val="18"/>
              </w:rPr>
              <w:t>Diagnosis shown</w:t>
            </w:r>
          </w:p>
        </w:tc>
        <w:tc>
          <w:tcPr>
            <w:tcW w:type="dxa" w:w="2592"/>
          </w:tcPr>
          <w:p>
            <w:pPr>
              <w:spacing w:after="80"/>
            </w:pPr>
            <w:r>
              <w:rPr>
                <w:sz w:val="18"/>
              </w:rPr>
              <w:t>Investigations shown</w:t>
            </w:r>
          </w:p>
        </w:tc>
        <w:tc>
          <w:tcPr>
            <w:tcW w:type="dxa" w:w="2736"/>
          </w:tcPr>
          <w:p>
            <w:pPr>
              <w:spacing w:after="80"/>
            </w:pPr>
            <w:r>
              <w:rPr>
                <w:sz w:val="18"/>
              </w:rPr>
              <w:t>Treatment shown</w:t>
            </w:r>
          </w:p>
        </w:tc>
        <w:tc>
          <w:tcPr>
            <w:tcW w:type="dxa" w:w="2736"/>
          </w:tcPr>
          <w:p>
            <w:pPr>
              <w:spacing w:after="80"/>
            </w:pPr>
            <w:r>
              <w:rPr>
                <w:sz w:val="18"/>
              </w:rPr>
              <w:t>Advice shown</w:t>
            </w:r>
          </w:p>
        </w:tc>
        <w:tc>
          <w:tcPr>
            <w:tcW w:type="dxa" w:w="2016"/>
          </w:tcPr>
          <w:p>
            <w:pPr>
              <w:spacing w:after="80"/>
            </w:pPr>
            <w:r>
              <w:rPr>
                <w:sz w:val="18"/>
              </w:rPr>
              <w:t>Comparison notes</w:t>
            </w:r>
          </w:p>
        </w:tc>
      </w:tr>
      <w:tr>
        <w:trPr>
          <w:cantSplit/>
        </w:trPr>
        <w:tc>
          <w:tcPr>
            <w:tcW w:type="dxa" w:w="2232"/>
          </w:tcPr>
          <w:p>
            <w:pPr>
              <w:spacing w:after="80"/>
            </w:pPr>
            <w:r>
              <w:rPr>
                <w:sz w:val="18"/>
              </w:rPr>
              <w:t>C1 — 32 F, 3 days. Fever, severe joint pain, headache, rash. No liver/kidney disease.</w:t>
            </w:r>
          </w:p>
        </w:tc>
        <w:tc>
          <w:tcPr>
            <w:tcW w:type="dxa" w:w="1944"/>
          </w:tcPr>
          <w:p>
            <w:pPr>
              <w:spacing w:after="80"/>
            </w:pPr>
            <w:r>
              <w:rPr>
                <w:sz w:val="18"/>
              </w:rPr>
              <w:t>Probable dengue fever. DEN-DF-DX-001, p.27.</w:t>
            </w:r>
          </w:p>
        </w:tc>
        <w:tc>
          <w:tcPr>
            <w:tcW w:type="dxa" w:w="2592"/>
          </w:tcPr>
          <w:p>
            <w:pPr>
              <w:spacing w:after="80"/>
            </w:pPr>
            <w:r>
              <w:rPr>
                <w:sz w:val="18"/>
              </w:rPr>
              <w:t>Chikungunya laboratory assessment: blood/serum for RT-PCR or serology. CHI-022, p.21.</w:t>
            </w:r>
          </w:p>
        </w:tc>
        <w:tc>
          <w:tcPr>
            <w:tcW w:type="dxa" w:w="2736"/>
          </w:tcPr>
          <w:p>
            <w:pPr>
              <w:spacing w:after="80"/>
            </w:pPr>
            <w:r>
              <w:rPr>
                <w:sz w:val="18"/>
              </w:rPr>
              <w:t>Paracetamol up to 1000 mg four times daily in adults; avoid NSAIDs and aspirin. CHI-014, p.18.</w:t>
            </w:r>
          </w:p>
        </w:tc>
        <w:tc>
          <w:tcPr>
            <w:tcW w:type="dxa" w:w="2736"/>
          </w:tcPr>
          <w:p>
            <w:pPr>
              <w:spacing w:after="80"/>
            </w:pPr>
            <w:r>
              <w:rPr>
                <w:sz w:val="18"/>
              </w:rPr>
              <w:t>Immediate return for deterioration, inability to tolerate fluids, severe abdominal pain, lethargy, bleeding, reduced urine, cold extremities, or breathing difficulty. DEN-RETURN-001, p.48.</w:t>
            </w:r>
          </w:p>
        </w:tc>
        <w:tc>
          <w:tcPr>
            <w:tcW w:type="dxa" w:w="2016"/>
          </w:tcPr>
          <w:p>
            <w:pPr>
              <w:spacing w:after="80"/>
            </w:pPr>
            <w:r>
              <w:rPr>
                <w:sz w:val="18"/>
              </w:rPr>
              <w:t>Diagnosis/advice use Dengue sources; investigation/treatment use Chikungunya sources.</w:t>
            </w:r>
          </w:p>
        </w:tc>
      </w:tr>
      <w:tr>
        <w:trPr>
          <w:cantSplit/>
        </w:trPr>
        <w:tc>
          <w:tcPr>
            <w:tcW w:type="dxa" w:w="2232"/>
          </w:tcPr>
          <w:p>
            <w:pPr>
              <w:spacing w:after="80"/>
            </w:pPr>
            <w:r>
              <w:rPr>
                <w:sz w:val="18"/>
              </w:rPr>
              <w:t>C2 — 25 F, 4 days. Dengue-like symptoms, but pasted findings/BP are from the hypertension case.</w:t>
            </w:r>
          </w:p>
        </w:tc>
        <w:tc>
          <w:tcPr>
            <w:tcW w:type="dxa" w:w="1944"/>
          </w:tcPr>
          <w:p>
            <w:pPr>
              <w:spacing w:after="80"/>
            </w:pPr>
            <w:r>
              <w:rPr>
                <w:sz w:val="18"/>
              </w:rPr>
              <w:t>Probable dengue fever. DEN-DF-DX-001, p.27.</w:t>
            </w:r>
          </w:p>
        </w:tc>
        <w:tc>
          <w:tcPr>
            <w:tcW w:type="dxa" w:w="2592"/>
          </w:tcPr>
          <w:p>
            <w:pPr>
              <w:spacing w:after="80"/>
            </w:pPr>
            <w:r>
              <w:rPr>
                <w:sz w:val="18"/>
              </w:rPr>
              <w:t>Chikungunya confirmation: culture, RT-PCR within 5 days, IgM days 5–28, or paired IgG rise. CHI-013, p.11.</w:t>
            </w:r>
          </w:p>
        </w:tc>
        <w:tc>
          <w:tcPr>
            <w:tcW w:type="dxa" w:w="2736"/>
          </w:tcPr>
          <w:p>
            <w:pPr>
              <w:spacing w:after="80"/>
            </w:pPr>
            <w:r>
              <w:rPr>
                <w:sz w:val="18"/>
              </w:rPr>
              <w:t>No specific pharmacologic therapy; symptomatic paracetamol described as acceptable. Reason refers to uncomplicated Chikungunya, but citations are DEN-MED-001, pp.47–48.</w:t>
            </w:r>
          </w:p>
        </w:tc>
        <w:tc>
          <w:tcPr>
            <w:tcW w:type="dxa" w:w="2736"/>
          </w:tcPr>
          <w:p>
            <w:pPr>
              <w:spacing w:after="80"/>
            </w:pPr>
            <w:r>
              <w:rPr>
                <w:sz w:val="18"/>
              </w:rPr>
              <w:t>Assess admission using haemodynamic instability, bleeding, oliguria, altered sensorium, persistent joint pain, age, pregnancy, or high-risk status. CHI-016, p.19.</w:t>
            </w:r>
          </w:p>
        </w:tc>
        <w:tc>
          <w:tcPr>
            <w:tcW w:type="dxa" w:w="2016"/>
          </w:tcPr>
          <w:p>
            <w:pPr>
              <w:spacing w:after="80"/>
            </w:pPr>
            <w:r>
              <w:rPr>
                <w:sz w:val="18"/>
              </w:rPr>
              <w:t>Input differs from Improved C2: findings are alert/no neurological deficit/no breathlessness; BP 158/96, repeated 156/94, pulse 78. Not a matched-input comparison. Mixed protocol wording/citations.</w:t>
            </w:r>
          </w:p>
        </w:tc>
      </w:tr>
      <w:tr>
        <w:trPr>
          <w:cantSplit/>
        </w:trPr>
        <w:tc>
          <w:tcPr>
            <w:tcW w:type="dxa" w:w="2232"/>
          </w:tcPr>
          <w:p>
            <w:pPr>
              <w:spacing w:after="80"/>
            </w:pPr>
            <w:r>
              <w:rPr>
                <w:sz w:val="18"/>
              </w:rPr>
              <w:t>C3 — Cholera excerpt. Patient input not included in this pasted section.</w:t>
            </w:r>
          </w:p>
        </w:tc>
        <w:tc>
          <w:tcPr>
            <w:tcW w:type="dxa" w:w="1944"/>
          </w:tcPr>
          <w:p>
            <w:pPr>
              <w:spacing w:after="80"/>
            </w:pPr>
            <w:r>
              <w:rPr>
                <w:sz w:val="18"/>
              </w:rPr>
              <w:t>Suspected cholera with severe dehydration or shock. CHO-001, p.5.</w:t>
            </w:r>
          </w:p>
        </w:tc>
        <w:tc>
          <w:tcPr>
            <w:tcW w:type="dxa" w:w="2592"/>
          </w:tcPr>
          <w:p>
            <w:pPr>
              <w:spacing w:after="80"/>
            </w:pPr>
            <w:r>
              <w:rPr>
                <w:sz w:val="18"/>
              </w:rPr>
              <w:t>No validated recommendation available; clinician review required.</w:t>
            </w:r>
          </w:p>
        </w:tc>
        <w:tc>
          <w:tcPr>
            <w:tcW w:type="dxa" w:w="2736"/>
          </w:tcPr>
          <w:p>
            <w:pPr>
              <w:spacing w:after="80"/>
            </w:pPr>
            <w:r>
              <w:rPr>
                <w:sz w:val="18"/>
              </w:rPr>
              <w:t>Plan A ORS after each loose stool and daily packet quantity. CHO-009, p.11.</w:t>
            </w:r>
          </w:p>
        </w:tc>
        <w:tc>
          <w:tcPr>
            <w:tcW w:type="dxa" w:w="2736"/>
          </w:tcPr>
          <w:p>
            <w:pPr>
              <w:spacing w:after="80"/>
            </w:pPr>
            <w:r>
              <w:rPr>
                <w:sz w:val="18"/>
              </w:rPr>
              <w:t>Assess admission for haemodynamic instability, oliguria, altered sensorium, bleeding, or persistent disabling joint pain. CHI-016, p.19.</w:t>
            </w:r>
          </w:p>
        </w:tc>
        <w:tc>
          <w:tcPr>
            <w:tcW w:type="dxa" w:w="2016"/>
          </w:tcPr>
          <w:p>
            <w:pPr>
              <w:spacing w:after="80"/>
            </w:pPr>
            <w:r>
              <w:rPr>
                <w:sz w:val="18"/>
              </w:rPr>
              <w:t>Mapped to C3 from its Cholera diagnosis; exact input cannot be checked. Severe-dehydration diagnosis conflicts with Plan A treatment. Advice uses a Chikungunya source.</w:t>
            </w:r>
          </w:p>
        </w:tc>
      </w:tr>
      <w:tr>
        <w:trPr>
          <w:cantSplit/>
        </w:trPr>
        <w:tc>
          <w:tcPr>
            <w:tcW w:type="dxa" w:w="2232"/>
          </w:tcPr>
          <w:p>
            <w:pPr>
              <w:spacing w:after="80"/>
            </w:pPr>
            <w:r>
              <w:rPr>
                <w:sz w:val="18"/>
              </w:rPr>
              <w:t>C4 — 52 F, 3 weeks. Headache/dizziness; BP 158/96, repeated 156/94 after rest.</w:t>
            </w:r>
          </w:p>
        </w:tc>
        <w:tc>
          <w:tcPr>
            <w:tcW w:type="dxa" w:w="1944"/>
          </w:tcPr>
          <w:p>
            <w:pPr>
              <w:spacing w:after="80"/>
            </w:pPr>
            <w:r>
              <w:rPr>
                <w:sz w:val="18"/>
              </w:rPr>
              <w:t>Primary hypertension. HTN-007, p.49.</w:t>
            </w:r>
          </w:p>
        </w:tc>
        <w:tc>
          <w:tcPr>
            <w:tcW w:type="dxa" w:w="2592"/>
          </w:tcPr>
          <w:p>
            <w:pPr>
              <w:spacing w:after="80"/>
            </w:pPr>
            <w:r>
              <w:rPr>
                <w:sz w:val="18"/>
              </w:rPr>
              <w:t>Sodium, potassium, creatinine/eGFR, urine dipstick, ECG; lipid profile and fasting glucose if available. HTN-014, p.51.</w:t>
            </w:r>
          </w:p>
        </w:tc>
        <w:tc>
          <w:tcPr>
            <w:tcW w:type="dxa" w:w="2736"/>
          </w:tcPr>
          <w:p>
            <w:pPr>
              <w:spacing w:after="80"/>
            </w:pPr>
            <w:r>
              <w:rPr>
                <w:sz w:val="18"/>
              </w:rPr>
              <w:t>No validated recommendation available; clinician review required.</w:t>
            </w:r>
          </w:p>
        </w:tc>
        <w:tc>
          <w:tcPr>
            <w:tcW w:type="dxa" w:w="2736"/>
          </w:tcPr>
          <w:p>
            <w:pPr>
              <w:spacing w:after="80"/>
            </w:pPr>
            <w:r>
              <w:rPr>
                <w:sz w:val="18"/>
              </w:rPr>
              <w:t>No validated recommendation available; clinician review required.</w:t>
            </w:r>
          </w:p>
        </w:tc>
        <w:tc>
          <w:tcPr>
            <w:tcW w:type="dxa" w:w="2016"/>
          </w:tcPr>
          <w:p>
            <w:pPr>
              <w:spacing w:after="80"/>
            </w:pPr>
            <w:r>
              <w:rPr>
                <w:sz w:val="18"/>
              </w:rPr>
              <w:t>Investigation qualifier “if available” retained. Treatment and advice sections explicitly unavailable. Allergy field omitted in Baseline input.</w:t>
            </w:r>
          </w:p>
        </w:tc>
      </w:tr>
      <w:tr>
        <w:trPr>
          <w:cantSplit/>
        </w:trPr>
        <w:tc>
          <w:tcPr>
            <w:tcW w:type="dxa" w:w="2232"/>
          </w:tcPr>
          <w:p>
            <w:pPr>
              <w:spacing w:after="80"/>
            </w:pPr>
            <w:r>
              <w:rPr>
                <w:sz w:val="18"/>
              </w:rPr>
              <w:t>C5 — 32 F, 2 days. Fever, headache, joint/muscle pain, rash, nausea; mosquito exposure.</w:t>
            </w:r>
          </w:p>
        </w:tc>
        <w:tc>
          <w:tcPr>
            <w:tcW w:type="dxa" w:w="1944"/>
          </w:tcPr>
          <w:p>
            <w:pPr>
              <w:spacing w:after="80"/>
            </w:pPr>
            <w:r>
              <w:rPr>
                <w:sz w:val="18"/>
              </w:rPr>
              <w:t>Probable dengue fever. DEN-DIFF-001, p.37; DEN-DF-DX-001, p.27.</w:t>
            </w:r>
          </w:p>
        </w:tc>
        <w:tc>
          <w:tcPr>
            <w:tcW w:type="dxa" w:w="2592"/>
          </w:tcPr>
          <w:p>
            <w:pPr>
              <w:spacing w:after="80"/>
            </w:pPr>
            <w:r>
              <w:rPr>
                <w:sz w:val="18"/>
              </w:rPr>
              <w:t>CBC, haematocrit, NS1, SGOT and SGPT within days 1–5. DEN-INV-001, p.41.</w:t>
            </w:r>
          </w:p>
        </w:tc>
        <w:tc>
          <w:tcPr>
            <w:tcW w:type="dxa" w:w="2736"/>
          </w:tcPr>
          <w:p>
            <w:pPr>
              <w:spacing w:after="80"/>
            </w:pPr>
            <w:r>
              <w:rPr>
                <w:sz w:val="18"/>
              </w:rPr>
              <w:t>Paracetamol up to 3 g/day in adults; avoid NSAIDs, COX-2 inhibitors, and steroids. DEN-MED-001, pp.47–48.</w:t>
            </w:r>
          </w:p>
        </w:tc>
        <w:tc>
          <w:tcPr>
            <w:tcW w:type="dxa" w:w="2736"/>
          </w:tcPr>
          <w:p>
            <w:pPr>
              <w:spacing w:after="80"/>
            </w:pPr>
            <w:r>
              <w:rPr>
                <w:sz w:val="18"/>
              </w:rPr>
              <w:t>Immediate return for the listed deterioration/warning signs. DEN-RETURN-001, p.48.</w:t>
            </w:r>
          </w:p>
        </w:tc>
        <w:tc>
          <w:tcPr>
            <w:tcW w:type="dxa" w:w="2016"/>
          </w:tcPr>
          <w:p>
            <w:pPr>
              <w:spacing w:after="80"/>
            </w:pPr>
            <w:r>
              <w:rPr>
                <w:sz w:val="18"/>
              </w:rPr>
              <w:t>Age/sex differ: Improved C5 is 29 M; Baseline is 32 F. Diagnosis reason calls thrombocytopenia/leukopenia absent without supplied laboratory results.</w:t>
            </w:r>
          </w:p>
        </w:tc>
      </w:tr>
      <w:tr>
        <w:trPr>
          <w:cantSplit/>
        </w:trPr>
        <w:tc>
          <w:tcPr>
            <w:tcW w:type="dxa" w:w="2232"/>
          </w:tcPr>
          <w:p>
            <w:pPr>
              <w:spacing w:after="80"/>
            </w:pPr>
            <w:r>
              <w:rPr>
                <w:sz w:val="18"/>
              </w:rPr>
              <w:t>C6 — 32 F, 3 days. Same main symptoms as C1; known liver disease, no kidney disease.</w:t>
            </w:r>
          </w:p>
        </w:tc>
        <w:tc>
          <w:tcPr>
            <w:tcW w:type="dxa" w:w="1944"/>
          </w:tcPr>
          <w:p>
            <w:pPr>
              <w:spacing w:after="80"/>
            </w:pPr>
            <w:r>
              <w:rPr>
                <w:sz w:val="18"/>
              </w:rPr>
              <w:t>Probable dengue fever (classical dengue). DEN-DF-DX-001, p.27.</w:t>
            </w:r>
          </w:p>
        </w:tc>
        <w:tc>
          <w:tcPr>
            <w:tcW w:type="dxa" w:w="2592"/>
          </w:tcPr>
          <w:p>
            <w:pPr>
              <w:spacing w:after="80"/>
            </w:pPr>
            <w:r>
              <w:rPr>
                <w:sz w:val="18"/>
              </w:rPr>
              <w:t>Chikungunya RT-PCR within 5 days; IgM days 5–28; paired IgG rise at least 3 weeks apart. CHI-013, p.11.</w:t>
            </w:r>
          </w:p>
        </w:tc>
        <w:tc>
          <w:tcPr>
            <w:tcW w:type="dxa" w:w="2736"/>
          </w:tcPr>
          <w:p>
            <w:pPr>
              <w:spacing w:after="80"/>
            </w:pPr>
            <w:r>
              <w:rPr>
                <w:sz w:val="18"/>
              </w:rPr>
              <w:t>Paracetamol 500 mg orally every 6 hours as needed; up to 1000 mg/dose and 4000 mg/day. Adds caution and clinician review for liver disease. CHI-014, p.18.</w:t>
            </w:r>
          </w:p>
        </w:tc>
        <w:tc>
          <w:tcPr>
            <w:tcW w:type="dxa" w:w="2736"/>
          </w:tcPr>
          <w:p>
            <w:pPr>
              <w:spacing w:after="80"/>
            </w:pPr>
            <w:r>
              <w:rPr>
                <w:sz w:val="18"/>
              </w:rPr>
              <w:t>Immediate hospital return for the listed danger signs. DEN-RETURN-001, p.48.</w:t>
            </w:r>
          </w:p>
        </w:tc>
        <w:tc>
          <w:tcPr>
            <w:tcW w:type="dxa" w:w="2016"/>
          </w:tcPr>
          <w:p>
            <w:pPr>
              <w:spacing w:after="80"/>
            </w:pPr>
            <w:r>
              <w:rPr>
                <w:sz w:val="18"/>
              </w:rPr>
              <w:t>Known liver disease did not prevent a regimen being displayed. CHI-014 limits its regimen to patients without pre-existing liver/kidney disease; the added 500 mg every-6-hours regimen is not established by that quoted guidance. Mixed protocol sources.</w:t>
            </w:r>
          </w:p>
        </w:tc>
      </w:tr>
    </w:tbl>
    <w:p>
      <w:r>
        <w:t>Record handling: the opening partial C6 diagnosis is repeated later with a complete management output; it is summarized once. Missing C3 input was not reconstructed. Differences in inputs must be corrected before claiming a controlled Baseline–Improved comparison. No elapsed times, formal pass/fail scores, or clarification answers were provided.</w:t>
      </w:r>
    </w:p>
    <w:sectPr w:rsidR="00FC693F" w:rsidRPr="0006063C" w:rsidSect="00034616">
      <w:pgSz w:w="16848" w:h="11952"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