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Improved outputs and question-based changes</w:t>
      </w:r>
    </w:p>
    <w:p>
      <w:r>
        <w:t>Summary of the supplied run excerpts. These are observed outputs, not expected results. A dash means the section or answer was not included in the pasted record. Case numbers follow the six-case evaluation order.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656"/>
        <w:gridCol w:w="1944"/>
        <w:gridCol w:w="2376"/>
        <w:gridCol w:w="2016"/>
        <w:gridCol w:w="2376"/>
        <w:gridCol w:w="1944"/>
      </w:tblGrid>
      <w:tr>
        <w:trPr>
          <w:tblHeader/>
          <w:cantSplit/>
        </w:trPr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Case / patient</w:t>
            </w:r>
          </w:p>
        </w:tc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Diagnosis shown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Investigations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Treatment shown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Advice shown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Questions and recorded answers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Change after answers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C1 — 32 F, 3 days. Fever, severe joint pain, rash; no liver/kidney disease.</w:t>
            </w:r>
          </w:p>
        </w:tc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Suspected Dengue and Suspected Chikungunya. Chikungunya selected.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—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Paracetamol source guidance matched; no actual dose displayed. Itching and home-management guidance conditional.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Cold compresses; avoid heat during the acute stage. Complication/recovery advice conditional.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Itching? No answer recorded.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C2 — 25 F, 4 days. Fever, headache, retro-orbital pain, myalgia, rash, mild dehydration.</w:t>
            </w:r>
          </w:p>
        </w:tc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Possible Dengue and Possible Chikungunya. Dengue selected.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—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Medication eligibility unresolved. Safety notes: avoid NSAIDs and steroids; expert review for necessary antithrombotics.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Concerning factors flagged for inpatient assessment. Home-management eligibility conditional.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Actual baseline Hct available? Hct rising? Plasma leakage suspected? No answers recorded.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C3 — 37 F, 12 hours. Rice-water diarrhoea, vomiting, sunken eyes, weak pulse; BP 90/60.</w:t>
            </w:r>
          </w:p>
        </w:tc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Suspected Cholera.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—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Plan C: Ringer’s lactate; 30 mL/kg over 30 minutes, then 70 mL/kg over 2.5 hours. ORS initially conditional on safe drinking.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Plan C reassessment conditional on alertness, drinking ability, and pulse improvement.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Can the patient drink safely? Yes.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ORS for ongoing losses: as much as wanted. Zinc: 20 mg once daily for 10 days also appeared as a new source match.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C4 — 52 F. Repeated elevated BP: 158/96, then 156/94 after rest.</w:t>
            </w:r>
          </w:p>
        </w:tc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Suspected Hypertension.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Sodium, potassium, creatinine/eGFR, urine dipstick, ECG, lipids, fasting glucose. Source qualifies lipids/glucose: “if available.”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Initiation conditional on two-week review and review BP. Pregnancy restrictions displayed without assuming pregnancy.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BP targets and follow-up requirements unresolved.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BP control, active treatment goal, two-week review, CKD, comorbidities, diabetes, CVD risk/history. BP controlled: No. Two Yes answers recorded; fields unspecified.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High-risk target systolic BP &lt;130 mmHg appeared. Exact triggering answers cannot be identified.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C5 — 29 M, 2 days. Fever, joint/muscle pain, rash, nausea.</w:t>
            </w:r>
          </w:p>
        </w:tc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Suspected Dengue and Possible Chikungunya. Both management selections tried.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Dengue: no matching guidance. Chikungunya: RT-PCR within five days matched.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Dengue: no matching guidance. Chikungunya: paracetamol initially conditional on liver/kidney history.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Dengue: no matching guidance. Chikungunya: cold compresses and avoiding acute-stage heat matched.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Pre-existing kidney disease? No. Liver disease? No. Itching? No answer recorded.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Chikungunya branch: paracetamol source guidance became matched. No actual dose displayed.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C6 — 32 F, 3 days. Same main symptoms as C1; known pre-existing liver disease.</w:t>
            </w:r>
          </w:p>
        </w:tc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Suspected Chikungunya and Possible Dengue.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No matching guidance; investigation cards remained additional references.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No matching guidance. Liver/kidney restrictions displayed, but these facts still appeared unresolved.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No matching guidance; supportive-care cards remained additional references.</w:t>
            </w:r>
          </w:p>
        </w:tc>
        <w:tc>
          <w:tcPr>
            <w:tcW w:type="dxa" w:w="2376"/>
          </w:tcPr>
          <w:p>
            <w:pPr>
              <w:spacing w:after="80"/>
            </w:pPr>
            <w:r>
              <w:rPr>
                <w:sz w:val="18"/>
              </w:rPr>
              <w:t>No additional questions appeared.</w:t>
            </w:r>
          </w:p>
        </w:tc>
        <w:tc>
          <w:tcPr>
            <w:tcW w:type="dxa" w:w="1944"/>
          </w:tcPr>
          <w:p>
            <w:pPr>
              <w:spacing w:after="80"/>
            </w:pPr>
            <w:r>
              <w:rPr>
                <w:sz w:val="18"/>
              </w:rPr>
              <w:t>—</w:t>
            </w:r>
          </w:p>
        </w:tc>
      </w:tr>
    </w:tbl>
    <w:p>
      <w:r>
        <w:t>Notes: These excerpts do not establish clinical correctness or superiority over Baseline. In C3, zinc appeared after reassessment; this does not mean its eligibility depends on safe drinking. In C4, the generated investigation sentence omitted the source’s “if available” qualifier. Missing sections are not automatically failed outputs.</w:t>
      </w:r>
    </w:p>
    <w:p>
      <w:r>
        <w:t>The Improved version is a direct showcase and still needs further improvement. These cases highlight findings for further development, particularly after the Q/A update; they do not cover all possible cases.</w:t>
      </w:r>
    </w:p>
    <w:sectPr w:rsidR="00FC693F" w:rsidRPr="0006063C" w:rsidSect="00034616">
      <w:pgSz w:w="16848" w:h="11952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