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RAID Log – Explication et Exemples (AgilePM v3)</w:t>
      </w:r>
    </w:p>
    <w:p>
      <w:pPr>
        <w:pStyle w:val="Heading2"/>
      </w:pPr>
      <w:r>
        <w:t>1. Explication du RAID Log</w:t>
      </w:r>
    </w:p>
    <w:p>
      <w:r>
        <w:t>Le RAID Log est un outil de gestion permettant de suivre quatre éléments essentiels : Risques, Hypothèses, Problèmes et Dépendances. Il aide à maintenir une vision claire et à favoriser la prise de décision proactive dans AgilePM v3.</w:t>
      </w:r>
    </w:p>
    <w:p>
      <w:pPr>
        <w:pStyle w:val="Heading2"/>
      </w:pPr>
      <w:r>
        <w:t>2. Exemple 1 – Projet Portail Client</w:t>
      </w:r>
    </w:p>
    <w:p>
      <w:pPr>
        <w:pStyle w:val="Heading3"/>
      </w:pPr>
      <w:r>
        <w:t>Risks (Risques)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Impact</w:t>
            </w:r>
          </w:p>
        </w:tc>
        <w:tc>
          <w:tcPr>
            <w:tcW w:type="dxa" w:w="1234"/>
          </w:tcPr>
          <w:p>
            <w:r>
              <w:t>Probabilité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Propriétaire</w:t>
            </w:r>
          </w:p>
        </w:tc>
        <w:tc>
          <w:tcPr>
            <w:tcW w:type="dxa" w:w="1234"/>
          </w:tcPr>
          <w:p>
            <w:r>
              <w:t>Plan d’action</w:t>
            </w:r>
          </w:p>
        </w:tc>
      </w:tr>
      <w:tr>
        <w:tc>
          <w:tcPr>
            <w:tcW w:type="dxa" w:w="1234"/>
          </w:tcPr>
          <w:p>
            <w:r>
              <w:t>R1</w:t>
            </w:r>
          </w:p>
        </w:tc>
        <w:tc>
          <w:tcPr>
            <w:tcW w:type="dxa" w:w="1234"/>
          </w:tcPr>
          <w:p>
            <w:r>
              <w:t>Retard de l’équipe UX</w:t>
            </w:r>
          </w:p>
        </w:tc>
        <w:tc>
          <w:tcPr>
            <w:tcW w:type="dxa" w:w="1234"/>
          </w:tcPr>
          <w:p>
            <w:r>
              <w:t>Moyen</w:t>
            </w:r>
          </w:p>
        </w:tc>
        <w:tc>
          <w:tcPr>
            <w:tcW w:type="dxa" w:w="1234"/>
          </w:tcPr>
          <w:p>
            <w:r>
              <w:t>Élevé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Team Leader</w:t>
            </w:r>
          </w:p>
        </w:tc>
        <w:tc>
          <w:tcPr>
            <w:tcW w:type="dxa" w:w="1234"/>
          </w:tcPr>
          <w:p>
            <w:r>
              <w:t>Backup + réduire scope Must Have</w:t>
            </w:r>
          </w:p>
        </w:tc>
      </w:tr>
    </w:tbl>
    <w:p/>
    <w:p>
      <w:pPr>
        <w:pStyle w:val="Heading3"/>
      </w:pPr>
      <w:r>
        <w:t>Assumptions (Hypothèses)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Hypothèse</w:t>
            </w:r>
          </w:p>
        </w:tc>
        <w:tc>
          <w:tcPr>
            <w:tcW w:type="dxa" w:w="1728"/>
          </w:tcPr>
          <w:p>
            <w:r>
              <w:t>Validité</w:t>
            </w:r>
          </w:p>
        </w:tc>
        <w:tc>
          <w:tcPr>
            <w:tcW w:type="dxa" w:w="1728"/>
          </w:tcPr>
          <w:p>
            <w:r>
              <w:t>Propriétaire</w:t>
            </w:r>
          </w:p>
        </w:tc>
        <w:tc>
          <w:tcPr>
            <w:tcW w:type="dxa" w:w="1728"/>
          </w:tcPr>
          <w:p>
            <w:r>
              <w:t>Revue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Données clients propres</w:t>
            </w:r>
          </w:p>
        </w:tc>
        <w:tc>
          <w:tcPr>
            <w:tcW w:type="dxa" w:w="1728"/>
          </w:tcPr>
          <w:p>
            <w:r>
              <w:t>À confirmer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/>
    <w:p>
      <w:pPr>
        <w:pStyle w:val="Heading3"/>
      </w:pPr>
      <w:r>
        <w:t>Issues (Problèmes)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Problème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Propriétaire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</w:tr>
      <w:tr>
        <w:tc>
          <w:tcPr>
            <w:tcW w:type="dxa" w:w="1440"/>
          </w:tcPr>
          <w:p>
            <w:r>
              <w:t>I1</w:t>
            </w:r>
          </w:p>
        </w:tc>
        <w:tc>
          <w:tcPr>
            <w:tcW w:type="dxa" w:w="1440"/>
          </w:tcPr>
          <w:p>
            <w:r>
              <w:t>API Auth ne répond pas</w:t>
            </w:r>
          </w:p>
        </w:tc>
        <w:tc>
          <w:tcPr>
            <w:tcW w:type="dxa" w:w="1440"/>
          </w:tcPr>
          <w:p>
            <w:r>
              <w:t>Fort</w:t>
            </w:r>
          </w:p>
        </w:tc>
        <w:tc>
          <w:tcPr>
            <w:tcW w:type="dxa" w:w="1440"/>
          </w:tcPr>
          <w:p>
            <w:r>
              <w:t>En cours</w:t>
            </w:r>
          </w:p>
        </w:tc>
        <w:tc>
          <w:tcPr>
            <w:tcW w:type="dxa" w:w="1440"/>
          </w:tcPr>
          <w:p>
            <w:r>
              <w:t>Dev Lead</w:t>
            </w:r>
          </w:p>
        </w:tc>
        <w:tc>
          <w:tcPr>
            <w:tcW w:type="dxa" w:w="1440"/>
          </w:tcPr>
          <w:p>
            <w:r>
              <w:t>Analyse et escalade</w:t>
            </w:r>
          </w:p>
        </w:tc>
      </w:tr>
    </w:tbl>
    <w:p/>
    <w:p>
      <w:pPr>
        <w:pStyle w:val="Heading3"/>
      </w:pPr>
      <w:r>
        <w:t>Dependencies (Dépendances)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Dépendance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Échéance</w:t>
            </w:r>
          </w:p>
        </w:tc>
      </w:tr>
      <w:tr>
        <w:tc>
          <w:tcPr>
            <w:tcW w:type="dxa" w:w="1440"/>
          </w:tcPr>
          <w:p>
            <w:r>
              <w:t>D1</w:t>
            </w:r>
          </w:p>
        </w:tc>
        <w:tc>
          <w:tcPr>
            <w:tcW w:type="dxa" w:w="1440"/>
          </w:tcPr>
          <w:p>
            <w:r>
              <w:t>Module facturation</w:t>
            </w:r>
          </w:p>
        </w:tc>
        <w:tc>
          <w:tcPr>
            <w:tcW w:type="dxa" w:w="1440"/>
          </w:tcPr>
          <w:p>
            <w:r>
              <w:t>Externe</w:t>
            </w:r>
          </w:p>
        </w:tc>
        <w:tc>
          <w:tcPr>
            <w:tcW w:type="dxa" w:w="1440"/>
          </w:tcPr>
          <w:p>
            <w:r>
              <w:t>En attente</w:t>
            </w:r>
          </w:p>
        </w:tc>
        <w:tc>
          <w:tcPr>
            <w:tcW w:type="dxa" w:w="1440"/>
          </w:tcPr>
          <w:p>
            <w:r>
              <w:t>Architecte SI</w:t>
            </w:r>
          </w:p>
        </w:tc>
        <w:tc>
          <w:tcPr>
            <w:tcW w:type="dxa" w:w="1440"/>
          </w:tcPr>
          <w:p>
            <w:r>
              <w:t>10/12</w:t>
            </w:r>
          </w:p>
        </w:tc>
      </w:tr>
    </w:tbl>
    <w:p/>
    <w:p>
      <w:pPr>
        <w:pStyle w:val="Heading2"/>
      </w:pPr>
      <w:r>
        <w:t>3. Exemple 2 – Migration Cloud</w:t>
      </w:r>
    </w:p>
    <w:p>
      <w:pPr>
        <w:pStyle w:val="Heading3"/>
      </w:pPr>
      <w:r>
        <w:t>Risks (Risques)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Impact</w:t>
            </w:r>
          </w:p>
        </w:tc>
        <w:tc>
          <w:tcPr>
            <w:tcW w:type="dxa" w:w="1234"/>
          </w:tcPr>
          <w:p>
            <w:r>
              <w:t>Prob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Mitigation</w:t>
            </w:r>
          </w:p>
        </w:tc>
      </w:tr>
      <w:tr>
        <w:tc>
          <w:tcPr>
            <w:tcW w:type="dxa" w:w="1234"/>
          </w:tcPr>
          <w:p>
            <w:r>
              <w:t>R2</w:t>
            </w:r>
          </w:p>
        </w:tc>
        <w:tc>
          <w:tcPr>
            <w:tcW w:type="dxa" w:w="1234"/>
          </w:tcPr>
          <w:p>
            <w:r>
              <w:t>Surcharge réseau</w:t>
            </w:r>
          </w:p>
        </w:tc>
        <w:tc>
          <w:tcPr>
            <w:tcW w:type="dxa" w:w="1234"/>
          </w:tcPr>
          <w:p>
            <w:r>
              <w:t>Élevé</w:t>
            </w:r>
          </w:p>
        </w:tc>
        <w:tc>
          <w:tcPr>
            <w:tcW w:type="dxa" w:w="1234"/>
          </w:tcPr>
          <w:p>
            <w:r>
              <w:t>Moyen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Architecte Réseau</w:t>
            </w:r>
          </w:p>
        </w:tc>
        <w:tc>
          <w:tcPr>
            <w:tcW w:type="dxa" w:w="1234"/>
          </w:tcPr>
          <w:p>
            <w:r>
              <w:t>Migration nocturne</w:t>
            </w:r>
          </w:p>
        </w:tc>
      </w:tr>
    </w:tbl>
    <w:p/>
    <w:p>
      <w:pPr>
        <w:pStyle w:val="Heading3"/>
      </w:pPr>
      <w:r>
        <w:t>Assumptions (Hypothèses)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Hypothèse</w:t>
            </w:r>
          </w:p>
        </w:tc>
        <w:tc>
          <w:tcPr>
            <w:tcW w:type="dxa" w:w="1728"/>
          </w:tcPr>
          <w:p>
            <w:r>
              <w:t>Validité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Budget validé</w:t>
            </w:r>
          </w:p>
        </w:tc>
        <w:tc>
          <w:tcPr>
            <w:tcW w:type="dxa" w:w="1728"/>
          </w:tcPr>
          <w:p>
            <w:r>
              <w:t>Risqué</w:t>
            </w:r>
          </w:p>
        </w:tc>
        <w:tc>
          <w:tcPr>
            <w:tcW w:type="dxa" w:w="1728"/>
          </w:tcPr>
          <w:p>
            <w:r>
              <w:t>Sponsor</w:t>
            </w:r>
          </w:p>
        </w:tc>
        <w:tc>
          <w:tcPr>
            <w:tcW w:type="dxa" w:w="1728"/>
          </w:tcPr>
          <w:p>
            <w:r>
              <w:t>Hebdo</w:t>
            </w:r>
          </w:p>
        </w:tc>
      </w:tr>
    </w:tbl>
    <w:p/>
    <w:p>
      <w:pPr>
        <w:pStyle w:val="Heading3"/>
      </w:pPr>
      <w:r>
        <w:t>Issues (Problèmes)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Problème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</w:tr>
      <w:tr>
        <w:tc>
          <w:tcPr>
            <w:tcW w:type="dxa" w:w="1440"/>
          </w:tcPr>
          <w:p>
            <w:r>
              <w:t>I2</w:t>
            </w:r>
          </w:p>
        </w:tc>
        <w:tc>
          <w:tcPr>
            <w:tcW w:type="dxa" w:w="1440"/>
          </w:tcPr>
          <w:p>
            <w:r>
              <w:t>Licences firewall manquantes</w:t>
            </w:r>
          </w:p>
        </w:tc>
        <w:tc>
          <w:tcPr>
            <w:tcW w:type="dxa" w:w="1440"/>
          </w:tcPr>
          <w:p>
            <w:r>
              <w:t>Élevé</w:t>
            </w:r>
          </w:p>
        </w:tc>
        <w:tc>
          <w:tcPr>
            <w:tcW w:type="dxa" w:w="1440"/>
          </w:tcPr>
          <w:p>
            <w:r>
              <w:t>Bloquant</w:t>
            </w:r>
          </w:p>
        </w:tc>
        <w:tc>
          <w:tcPr>
            <w:tcW w:type="dxa" w:w="1440"/>
          </w:tcPr>
          <w:p>
            <w:r>
              <w:t>PM</w:t>
            </w:r>
          </w:p>
        </w:tc>
        <w:tc>
          <w:tcPr>
            <w:tcW w:type="dxa" w:w="1440"/>
          </w:tcPr>
          <w:p>
            <w:r>
              <w:t>Commander immédiatement</w:t>
            </w:r>
          </w:p>
        </w:tc>
      </w:tr>
    </w:tbl>
    <w:p/>
    <w:p>
      <w:pPr>
        <w:pStyle w:val="Heading3"/>
      </w:pPr>
      <w:r>
        <w:t>Dependencies (Dépendances)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Dépendance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Due</w:t>
            </w:r>
          </w:p>
        </w:tc>
      </w:tr>
      <w:tr>
        <w:tc>
          <w:tcPr>
            <w:tcW w:type="dxa" w:w="1440"/>
          </w:tcPr>
          <w:p>
            <w:r>
              <w:t>D2</w:t>
            </w:r>
          </w:p>
        </w:tc>
        <w:tc>
          <w:tcPr>
            <w:tcW w:type="dxa" w:w="1440"/>
          </w:tcPr>
          <w:p>
            <w:r>
              <w:t>Validation juridique UE</w:t>
            </w:r>
          </w:p>
        </w:tc>
        <w:tc>
          <w:tcPr>
            <w:tcW w:type="dxa" w:w="1440"/>
          </w:tcPr>
          <w:p>
            <w:r>
              <w:t>Externe</w:t>
            </w:r>
          </w:p>
        </w:tc>
        <w:tc>
          <w:tcPr>
            <w:tcW w:type="dxa" w:w="1440"/>
          </w:tcPr>
          <w:p>
            <w:r>
              <w:t>Analyse</w:t>
            </w:r>
          </w:p>
        </w:tc>
        <w:tc>
          <w:tcPr>
            <w:tcW w:type="dxa" w:w="1440"/>
          </w:tcPr>
          <w:p>
            <w:r>
              <w:t>Compliance</w:t>
            </w:r>
          </w:p>
        </w:tc>
        <w:tc>
          <w:tcPr>
            <w:tcW w:type="dxa" w:w="1440"/>
          </w:tcPr>
          <w:p>
            <w:r>
              <w:t>05/01</w:t>
            </w:r>
          </w:p>
        </w:tc>
      </w:tr>
    </w:tbl>
    <w:p/>
    <w:p>
      <w:pPr>
        <w:pStyle w:val="Heading2"/>
      </w:pPr>
      <w:r>
        <w:t>4. Exemple 3 – Application IoT Smart Meter</w:t>
      </w:r>
    </w:p>
    <w:p>
      <w:pPr>
        <w:pStyle w:val="Heading3"/>
      </w:pPr>
      <w:r>
        <w:t>Risks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Impact</w:t>
            </w:r>
          </w:p>
        </w:tc>
        <w:tc>
          <w:tcPr>
            <w:tcW w:type="dxa" w:w="1234"/>
          </w:tcPr>
          <w:p>
            <w:r>
              <w:t>Prob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Mitigation</w:t>
            </w:r>
          </w:p>
        </w:tc>
      </w:tr>
      <w:tr>
        <w:tc>
          <w:tcPr>
            <w:tcW w:type="dxa" w:w="1234"/>
          </w:tcPr>
          <w:p>
            <w:r>
              <w:t>R3</w:t>
            </w:r>
          </w:p>
        </w:tc>
        <w:tc>
          <w:tcPr>
            <w:tcW w:type="dxa" w:w="1234"/>
          </w:tcPr>
          <w:p>
            <w:r>
              <w:t>Instabilité réseau GSM</w:t>
            </w:r>
          </w:p>
        </w:tc>
        <w:tc>
          <w:tcPr>
            <w:tcW w:type="dxa" w:w="1234"/>
          </w:tcPr>
          <w:p>
            <w:r>
              <w:t>Moyen</w:t>
            </w:r>
          </w:p>
        </w:tc>
        <w:tc>
          <w:tcPr>
            <w:tcW w:type="dxa" w:w="1234"/>
          </w:tcPr>
          <w:p>
            <w:r>
              <w:t>Élevé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PO</w:t>
            </w:r>
          </w:p>
        </w:tc>
        <w:tc>
          <w:tcPr>
            <w:tcW w:type="dxa" w:w="1234"/>
          </w:tcPr>
          <w:p>
            <w:r>
              <w:t>Mode offline + cache</w:t>
            </w:r>
          </w:p>
        </w:tc>
      </w:tr>
    </w:tbl>
    <w:p/>
    <w:p>
      <w:pPr>
        <w:pStyle w:val="Heading3"/>
      </w:pPr>
      <w:r>
        <w:t>Assumptions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Hypothèse</w:t>
            </w:r>
          </w:p>
        </w:tc>
        <w:tc>
          <w:tcPr>
            <w:tcW w:type="dxa" w:w="1728"/>
          </w:tcPr>
          <w:p>
            <w:r>
              <w:t>Validité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Compteurs supportent MQTT</w:t>
            </w:r>
          </w:p>
        </w:tc>
        <w:tc>
          <w:tcPr>
            <w:tcW w:type="dxa" w:w="1728"/>
          </w:tcPr>
          <w:p>
            <w:r>
              <w:t>À vérifier</w:t>
            </w:r>
          </w:p>
        </w:tc>
        <w:tc>
          <w:tcPr>
            <w:tcW w:type="dxa" w:w="1728"/>
          </w:tcPr>
          <w:p>
            <w:r>
              <w:t>Tech Lead IoT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p>
      <w:pPr>
        <w:pStyle w:val="Heading3"/>
      </w:pPr>
      <w:r>
        <w:t>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Problème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</w:tr>
      <w:tr>
        <w:tc>
          <w:tcPr>
            <w:tcW w:type="dxa" w:w="1440"/>
          </w:tcPr>
          <w:p>
            <w:r>
              <w:t>I3</w:t>
            </w:r>
          </w:p>
        </w:tc>
        <w:tc>
          <w:tcPr>
            <w:tcW w:type="dxa" w:w="1440"/>
          </w:tcPr>
          <w:p>
            <w:r>
              <w:t>Bug firmware 1.2</w:t>
            </w:r>
          </w:p>
        </w:tc>
        <w:tc>
          <w:tcPr>
            <w:tcW w:type="dxa" w:w="1440"/>
          </w:tcPr>
          <w:p>
            <w:r>
              <w:t>Très élevé</w:t>
            </w:r>
          </w:p>
        </w:tc>
        <w:tc>
          <w:tcPr>
            <w:tcW w:type="dxa" w:w="1440"/>
          </w:tcPr>
          <w:p>
            <w:r>
              <w:t>Ouvert</w:t>
            </w:r>
          </w:p>
        </w:tc>
        <w:tc>
          <w:tcPr>
            <w:tcW w:type="dxa" w:w="1440"/>
          </w:tcPr>
          <w:p>
            <w:r>
              <w:t>Team IoT</w:t>
            </w:r>
          </w:p>
        </w:tc>
        <w:tc>
          <w:tcPr>
            <w:tcW w:type="dxa" w:w="1440"/>
          </w:tcPr>
          <w:p>
            <w:r>
              <w:t>Rollback 1.1</w:t>
            </w:r>
          </w:p>
        </w:tc>
      </w:tr>
    </w:tbl>
    <w:p/>
    <w:p>
      <w:pPr>
        <w:pStyle w:val="Heading3"/>
      </w:pPr>
      <w:r>
        <w:t>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Dépendance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Deadline</w:t>
            </w:r>
          </w:p>
        </w:tc>
      </w:tr>
      <w:tr>
        <w:tc>
          <w:tcPr>
            <w:tcW w:type="dxa" w:w="1440"/>
          </w:tcPr>
          <w:p>
            <w:r>
              <w:t>D3</w:t>
            </w:r>
          </w:p>
        </w:tc>
        <w:tc>
          <w:tcPr>
            <w:tcW w:type="dxa" w:w="1440"/>
          </w:tcPr>
          <w:p>
            <w:r>
              <w:t>Clé API régulateur</w:t>
            </w:r>
          </w:p>
        </w:tc>
        <w:tc>
          <w:tcPr>
            <w:tcW w:type="dxa" w:w="1440"/>
          </w:tcPr>
          <w:p>
            <w:r>
              <w:t>Externe</w:t>
            </w:r>
          </w:p>
        </w:tc>
        <w:tc>
          <w:tcPr>
            <w:tcW w:type="dxa" w:w="1440"/>
          </w:tcPr>
          <w:p>
            <w:r>
              <w:t>En attente</w:t>
            </w:r>
          </w:p>
        </w:tc>
        <w:tc>
          <w:tcPr>
            <w:tcW w:type="dxa" w:w="1440"/>
          </w:tcPr>
          <w:p>
            <w:r>
              <w:t>Métier</w:t>
            </w:r>
          </w:p>
        </w:tc>
        <w:tc>
          <w:tcPr>
            <w:tcW w:type="dxa" w:w="1440"/>
          </w:tcPr>
          <w:p>
            <w:r>
              <w:t>20/12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