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Calibri" w:cs="Calibri" w:eastAsia="Calibri" w:hAnsi="Calibri"/>
          <w:b/>
          <w:bCs/>
          <w:color w:val="1F6F6A"/>
          <w:sz w:val="20"/>
          <w:szCs w:val="20"/>
        </w:rPr>
        <w:t xml:space="preserve">PRODUCT ENGINEERING PLAN</w:t>
      </w:r>
    </w:p>
    <w:p>
      <w:pPr>
        <w:spacing w:after="80"/>
      </w:pPr>
      <w:r>
        <w:rPr>
          <w:rFonts w:ascii="Calibri" w:cs="Calibri" w:eastAsia="Calibri" w:hAnsi="Calibri"/>
          <w:b/>
          <w:bCs/>
          <w:color w:val="1B2A4A"/>
          <w:sz w:val="40"/>
          <w:szCs w:val="40"/>
        </w:rPr>
        <w:t xml:space="preserve">How to build a production-ready Work Engineering Platform</w:t>
      </w:r>
    </w:p>
    <w:p>
      <w:pPr>
        <w:spacing w:after="240" w:before="0" w:line="276"/>
      </w:pPr>
      <w:r>
        <w:rPr>
          <w:rFonts w:ascii="Calibri" w:cs="Calibri" w:eastAsia="Calibri" w:hAnsi="Calibri"/>
          <w:color w:val="5B6570"/>
          <w:sz w:val="22"/>
          <w:szCs w:val="22"/>
        </w:rPr>
        <w:t xml:space="preserve">From the V9 architecture and component map — joints first, boxes second. Written so a founder, a staff engineer, or a coding agent can implement without inventing the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Field</w:t>
            </w:r>
          </w:p>
        </w:tc>
        <w:tc>
          <w:tcPr>
            <w:tcW w:type="dxa" w:w="75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Value</w:t>
            </w:r>
          </w:p>
        </w:tc>
      </w:tr>
      <w:tr>
        <w:tc>
          <w:tcPr>
            <w:tcW w:type="dxa" w:w="25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Document type</w:t>
            </w:r>
          </w:p>
        </w:tc>
        <w:tc>
          <w:tcPr>
            <w:tcW w:type="dxa" w:w="7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Product engineering specification — build guide</w:t>
            </w:r>
          </w:p>
        </w:tc>
      </w:tr>
      <w:tr>
        <w:tc>
          <w:tcPr>
            <w:tcW w:type="dxa" w:w="25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Product</w:t>
            </w:r>
          </w:p>
        </w:tc>
        <w:tc>
          <w:tcPr>
            <w:tcW w:type="dxa" w:w="75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Work Engineering Platform (WEP) V9</w:t>
            </w:r>
          </w:p>
        </w:tc>
      </w:tr>
      <w:tr>
        <w:tc>
          <w:tcPr>
            <w:tcW w:type="dxa" w:w="25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Sources</w:t>
            </w:r>
          </w:p>
        </w:tc>
        <w:tc>
          <w:tcPr>
            <w:tcW w:type="dxa" w:w="7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V9 architecture map; V8 concept + Part K Scout; github.com/sanoojcools/work-engineering</w:t>
            </w:r>
          </w:p>
        </w:tc>
      </w:tr>
      <w:tr>
        <w:tc>
          <w:tcPr>
            <w:tcW w:type="dxa" w:w="25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Face of Discovery</w:t>
            </w:r>
          </w:p>
        </w:tc>
        <w:tc>
          <w:tcPr>
            <w:tcW w:type="dxa" w:w="75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Scout — multi-stage interview + structured/unstructured ingest. Not a second product.</w:t>
            </w:r>
          </w:p>
        </w:tc>
      </w:tr>
      <w:tr>
        <w:tc>
          <w:tcPr>
            <w:tcW w:type="dxa" w:w="25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Current offering</w:t>
            </w:r>
          </w:p>
        </w:tc>
        <w:tc>
          <w:tcPr>
            <w:tcW w:type="dxa" w:w="7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Scenario portfolio (as-is Work Unit map + S1/S2/S3 allocation)</w:t>
            </w:r>
          </w:p>
        </w:tc>
      </w:tr>
      <w:tr>
        <w:tc>
          <w:tcPr>
            <w:tcW w:type="dxa" w:w="25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Continuation</w:t>
            </w:r>
          </w:p>
        </w:tc>
        <w:tc>
          <w:tcPr>
            <w:tcW w:type="dxa" w:w="75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Workforce simulator — optional, recurring-revenue surface</w:t>
            </w:r>
          </w:p>
        </w:tc>
      </w:tr>
      <w:tr>
        <w:tc>
          <w:tcPr>
            <w:tcW w:type="dxa" w:w="25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Wedge</w:t>
            </w:r>
          </w:p>
        </w:tc>
        <w:tc>
          <w:tcPr>
            <w:tcW w:type="dxa" w:w="7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One function · Scout capture + 90 days of traces · inventory + gap · no agents required</w:t>
            </w:r>
          </w:p>
        </w:tc>
      </w:tr>
      <w:tr>
        <w:tc>
          <w:tcPr>
            <w:tcW w:type="dxa" w:w="25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Audience</w:t>
            </w:r>
          </w:p>
        </w:tc>
        <w:tc>
          <w:tcPr>
            <w:tcW w:type="dxa" w:w="75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Product engineers and coding agents (Grok, Claude, Cursor)</w:t>
            </w:r>
          </w:p>
        </w:tc>
      </w:tr>
      <w:tr>
        <w:tc>
          <w:tcPr>
            <w:tcW w:type="dxa" w:w="25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Companion file</w:t>
            </w:r>
          </w:p>
        </w:tc>
        <w:tc>
          <w:tcPr>
            <w:tcW w:type="dxa" w:w="75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WEP_V9_PRODUCT_ENGINEERING_PLAN.md (agent-executable detail + schemas)</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6F6A" w:sz="4"/>
              <w:left w:val="single" w:color="1F6F6A" w:sz="24"/>
              <w:bottom w:val="single" w:color="1F6F6A" w:sz="4"/>
              <w:right w:val="single" w:color="1F6F6A" w:sz="4"/>
            </w:tcBorders>
            <w:shd w:fill="E6F0EF" w:val="clear"/>
            <w:tcMar>
              <w:top w:type="dxa" w:w="120"/>
              <w:left w:type="dxa" w:w="160"/>
              <w:bottom w:type="dxa" w:w="120"/>
              <w:right w:type="dxa" w:w="160"/>
            </w:tcMar>
          </w:tcPr>
          <w:p>
            <w:pPr>
              <w:spacing w:after="60"/>
            </w:pPr>
            <w:r>
              <w:rPr>
                <w:rFonts w:ascii="Calibri" w:cs="Calibri" w:eastAsia="Calibri" w:hAnsi="Calibri"/>
                <w:b/>
                <w:bCs/>
                <w:color w:val="1F6F6A"/>
                <w:sz w:val="20"/>
                <w:szCs w:val="20"/>
              </w:rPr>
              <w:t xml:space="preserve">GOVERNING LINE</w:t>
            </w:r>
          </w:p>
          <w:p>
            <w:r>
              <w:rPr>
                <w:rFonts w:ascii="Calibri" w:cs="Calibri" w:eastAsia="Calibri" w:hAnsi="Calibri"/>
                <w:color w:val="222222"/>
                <w:sz w:val="20"/>
                <w:szCs w:val="20"/>
              </w:rPr>
              <w:t xml:space="preserve">A box is replaceable. A contract is not. Design the joints first. The 12-minute walkthrough is the spec. Code makes it true. If Scout and the spine disagree, the spine wins.</w:t>
            </w:r>
          </w:p>
        </w:tc>
      </w:tr>
    </w:tbl>
    <w:p>
      <w:pPr>
        <w:spacing w:after="240"/>
      </w:pPr>
    </w:p>
    <w:p>
      <w:pPr>
        <w:pStyle w:val="Heading1"/>
        <w:pBdr>
          <w:bottom w:val="single" w:color="1F6F6A" w:sz="12" w:space="6"/>
        </w:pBdr>
        <w:spacing w:after="160" w:before="360"/>
      </w:pPr>
      <w:r>
        <w:rPr>
          <w:rFonts w:ascii="Calibri" w:cs="Calibri" w:eastAsia="Calibri" w:hAnsi="Calibri"/>
          <w:b/>
          <w:bCs/>
          <w:color w:val="1B2A4A"/>
          <w:sz w:val="32"/>
          <w:szCs w:val="32"/>
        </w:rPr>
        <w:t xml:space="preserve">0. World-class bar and demo operating system</w:t>
      </w:r>
    </w:p>
    <w:p>
      <w:pPr>
        <w:spacing w:after="160" w:before="0" w:line="276"/>
      </w:pPr>
      <w:r>
        <w:rPr>
          <w:rFonts w:ascii="Calibri" w:cs="Calibri" w:eastAsia="Calibri" w:hAnsi="Calibri"/>
          <w:color w:val="222222"/>
          <w:sz w:val="22"/>
          <w:szCs w:val="22"/>
        </w:rPr>
        <w:t xml:space="preserve">The V8 repository cleared honesty. It did not clear production and it did not clear founder-satisfaction. V9 is not more architecture on the same failure mode. World-class is a property of a running tenant a stranger can operate on a clean machine.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rPr>
          <w:tblHeader/>
        </w:trPr>
        <w:tc>
          <w:tcPr>
            <w:tcW w:type="dxa" w:w="21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Bar</w:t>
            </w:r>
          </w:p>
        </w:tc>
        <w:tc>
          <w:tcPr>
            <w:tcW w:type="dxa" w:w="39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V8 repo</w:t>
            </w:r>
          </w:p>
        </w:tc>
        <w:tc>
          <w:tcPr>
            <w:tcW w:type="dxa" w:w="39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V9 world-class</w:t>
            </w:r>
          </w:p>
        </w:tc>
      </w:tr>
      <w:tr>
        <w:tc>
          <w:tcPr>
            <w:tcW w:type="dxa" w:w="21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Demo</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Founder-laptop ritual; keys; zeros</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12 minutes, clean compose, recorded, Playwright-backed</w:t>
            </w:r>
          </w:p>
        </w:tc>
      </w:tr>
      <w:tr>
        <w:tc>
          <w:tcPr>
            <w:tcW w:type="dxa" w:w="21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Persist honesty</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Scout 100% strength looks broken</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Same block, designed empty state, scene two of the demo</w:t>
            </w:r>
          </w:p>
        </w:tc>
      </w:tr>
      <w:tr>
        <w:tc>
          <w:tcPr>
            <w:tcW w:type="dxa" w:w="21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Invariant</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One path or the other</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G-SCOUT blocked and G-DOC ratified in one sitting</w:t>
            </w:r>
          </w:p>
        </w:tc>
      </w:tr>
      <w:tr>
        <w:tc>
          <w:tcPr>
            <w:tcW w:type="dxa" w:w="21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Deliverable</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Inventory and projections</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Scenario portfolio a CFO can hold</w:t>
            </w:r>
          </w:p>
        </w:tc>
      </w:tr>
      <w:tr>
        <w:tc>
          <w:tcPr>
            <w:tcW w:type="dxa" w:w="21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STATUS</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Can outrun tests</w:t>
            </w:r>
          </w:p>
        </w:tc>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STATUS is a subset of walkthrough plus contract tests</w:t>
            </w:r>
          </w:p>
        </w:tc>
      </w:tr>
      <w:tr>
        <w:tc>
          <w:tcPr>
            <w:tcW w:type="dxa" w:w="21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Pack</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Snowflake database per demo</w:t>
            </w:r>
          </w:p>
        </w:tc>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invoice-dispute.v1 only until Phase 1 is recorded</w:t>
            </w:r>
          </w:p>
        </w:tc>
      </w:tr>
    </w:tbl>
    <w:p>
      <w:pPr>
        <w:spacing w:after="200"/>
      </w:pPr>
    </w:p>
    <w:p>
      <w:pPr>
        <w:spacing w:after="160" w:before="0" w:line="276"/>
      </w:pPr>
      <w:r>
        <w:rPr>
          <w:rFonts w:ascii="Calibri" w:cs="Calibri" w:eastAsia="Calibri" w:hAnsi="Calibri"/>
          <w:color w:val="222222"/>
          <w:sz w:val="22"/>
          <w:szCs w:val="22"/>
        </w:rPr>
        <w:t xml:space="preserve">Phase −1 exists. Freeze four surfaces — Scout, Gap, Contract and scenarios, Portfolio — as a static prototype driven by fixture JSON. Record a click-through. If that recording is not a demo the founder would give a CFO, do not generate routers. Local test-green is AI-satisfaction. The recording is founder-satisfaction.</w:t>
      </w:r>
    </w:p>
    <w:p>
      <w:pPr>
        <w:spacing w:after="160" w:before="0" w:line="276"/>
      </w:pPr>
      <w:r>
        <w:rPr>
          <w:rFonts w:ascii="Calibri" w:cs="Calibri" w:eastAsia="Calibri" w:hAnsi="Calibri"/>
          <w:color w:val="222222"/>
          <w:sz w:val="22"/>
          <w:szCs w:val="22"/>
        </w:rPr>
        <w:t xml:space="preserve">Friction-free is not promised. Friction is reduced by one pack, one writer into Work Units, frozen joints, no Box 2 internals in Phase 1, no second industry, and a PR rule: name the walkthrough minute or the invariant, or do not merge. VERDICT without a labelled set is a questionnaire. Unreachable on only one surface is documentation. HONESTY specified-not-enforced rows are this codebase’s own rule debt.</w:t>
      </w:r>
    </w:p>
    <w:p>
      <w:pPr>
        <w:pStyle w:val="Heading1"/>
        <w:pBdr>
          <w:bottom w:val="single" w:color="1F6F6A" w:sz="12" w:space="6"/>
        </w:pBdr>
        <w:spacing w:after="160" w:before="360"/>
      </w:pPr>
      <w:r>
        <w:rPr>
          <w:rFonts w:ascii="Calibri" w:cs="Calibri" w:eastAsia="Calibri" w:hAnsi="Calibri"/>
          <w:b/>
          <w:bCs/>
          <w:color w:val="1B2A4A"/>
          <w:sz w:val="32"/>
          <w:szCs w:val="32"/>
        </w:rPr>
        <w:t xml:space="preserve">1. How to use this document</w:t>
      </w:r>
    </w:p>
    <w:p>
      <w:pPr>
        <w:spacing w:after="160" w:before="0" w:line="276"/>
      </w:pPr>
      <w:r>
        <w:rPr>
          <w:rFonts w:ascii="Calibri" w:cs="Calibri" w:eastAsia="Calibri" w:hAnsi="Calibri"/>
          <w:color w:val="222222"/>
          <w:sz w:val="22"/>
          <w:szCs w:val="22"/>
        </w:rPr>
        <w:t xml:space="preserve">This is not a strategy memo. It is the document that stays open while code is written. Read in this order: world-class bar; demo operating system; product thesis; V8 inheritance and Scout as face; frozen contracts; phased build starting at Phase −1; agent rules; DEMO_CHARTER.md.</w:t>
      </w:r>
    </w:p>
    <w:p>
      <w:pPr>
        <w:spacing w:after="160" w:before="0" w:line="276"/>
      </w:pPr>
      <w:r>
        <w:rPr>
          <w:rFonts w:ascii="Calibri" w:cs="Calibri" w:eastAsia="Calibri" w:hAnsi="Calibri"/>
          <w:color w:val="222222"/>
          <w:sz w:val="22"/>
          <w:szCs w:val="22"/>
        </w:rPr>
        <w:t xml:space="preserve">If a later section conflicts with a frozen contract, the contract wins. If a feature is not in the walkthrough and is not a joint the walkthrough cannot lie without, it waits. If a model wants to “just execute the work,” refuse.</w:t>
      </w:r>
    </w:p>
    <w:p>
      <w:pPr>
        <w:spacing w:after="160" w:before="0" w:line="276"/>
      </w:pPr>
      <w:r>
        <w:rPr>
          <w:rFonts w:ascii="Calibri" w:cs="Calibri" w:eastAsia="Calibri" w:hAnsi="Calibri"/>
          <w:color w:val="222222"/>
          <w:sz w:val="22"/>
          <w:szCs w:val="22"/>
        </w:rPr>
        <w:t xml:space="preserve">On day one create AGENTS.md, DEMO_CHARTER.md, docs/CONTRACTS.md, docs/HONESTY.md, docs/STATUS.md, docs/EVAL.md, docs/INVARIANTS.md, ui/prototype/, and ARCHITECTURE.md. Do not claim a capability in STATUS until the walkthrough test or a named contract test proves it.</w:t>
      </w:r>
    </w:p>
    <w:p>
      <w:pPr>
        <w:pStyle w:val="Heading1"/>
        <w:pBdr>
          <w:bottom w:val="single" w:color="1F6F6A" w:sz="12" w:space="6"/>
        </w:pBdr>
        <w:spacing w:after="160" w:before="360"/>
      </w:pPr>
      <w:r>
        <w:rPr>
          <w:rFonts w:ascii="Calibri" w:cs="Calibri" w:eastAsia="Calibri" w:hAnsi="Calibri"/>
          <w:b/>
          <w:bCs/>
          <w:color w:val="1B2A4A"/>
          <w:sz w:val="32"/>
          <w:szCs w:val="32"/>
        </w:rPr>
        <w:t xml:space="preserve">2. Product thesis</w:t>
      </w:r>
    </w:p>
    <w:p>
      <w:pPr>
        <w:pStyle w:val="Heading2"/>
        <w:spacing w:after="120" w:before="280"/>
      </w:pPr>
      <w:r>
        <w:rPr>
          <w:rFonts w:ascii="Calibri" w:cs="Calibri" w:eastAsia="Calibri" w:hAnsi="Calibri"/>
          <w:b/>
          <w:bCs/>
          <w:color w:val="1F6F6A"/>
          <w:sz w:val="26"/>
          <w:szCs w:val="26"/>
        </w:rPr>
        <w:t xml:space="preserve">2.1 What we are building</w:t>
      </w:r>
    </w:p>
    <w:p>
      <w:pPr>
        <w:spacing w:after="160" w:before="0" w:line="276"/>
      </w:pPr>
      <w:r>
        <w:rPr>
          <w:rFonts w:ascii="Calibri" w:cs="Calibri" w:eastAsia="Calibri" w:hAnsi="Calibri"/>
          <w:color w:val="222222"/>
          <w:sz w:val="22"/>
          <w:szCs w:val="22"/>
        </w:rPr>
        <w:t xml:space="preserve">The platform turns enterprise intent into work that machines, people and systems can be trusted to do. The primitive is the Work Unit: an independently accountable commitment to change the state of a real business object, with a named owner and evidence of completion that someone other than the executor can check.</w:t>
      </w:r>
    </w:p>
    <w:p>
      <w:pPr>
        <w:spacing w:after="160" w:before="0" w:line="276"/>
      </w:pPr>
      <w:r>
        <w:rPr>
          <w:rFonts w:ascii="Calibri" w:cs="Calibri" w:eastAsia="Calibri" w:hAnsi="Calibri"/>
          <w:color w:val="222222"/>
          <w:sz w:val="22"/>
          <w:szCs w:val="22"/>
        </w:rPr>
        <w:t xml:space="preserve">Around that primitive the platform discovers what the organization’s work actually is (including the gap between declared and observed), cuts it into contracted units, designs how each is verified, derives how much autonomy each can safely carry and who should perform it, and prices the whole honestly. The engagement result is scenario-shaped: the as-is Work Unit map plus appetite-tiered allocation scenarios the organization can adopt, moderate (with every moderation recorded), or grow into.</w:t>
      </w:r>
    </w:p>
    <w:p>
      <w:pPr>
        <w:pStyle w:val="Heading2"/>
        <w:spacing w:after="120" w:before="280"/>
      </w:pPr>
      <w:r>
        <w:rPr>
          <w:rFonts w:ascii="Calibri" w:cs="Calibri" w:eastAsia="Calibri" w:hAnsi="Calibri"/>
          <w:b/>
          <w:bCs/>
          <w:color w:val="1F6F6A"/>
          <w:sz w:val="26"/>
          <w:szCs w:val="26"/>
        </w:rPr>
        <w:t xml:space="preserve">2.2 Design bet</w:t>
      </w:r>
    </w:p>
    <w:p>
      <w:pPr>
        <w:spacing w:after="160" w:before="0" w:line="276"/>
      </w:pPr>
      <w:r>
        <w:rPr>
          <w:rFonts w:ascii="Calibri" w:cs="Calibri" w:eastAsia="Calibri" w:hAnsi="Calibri"/>
          <w:color w:val="222222"/>
          <w:sz w:val="22"/>
          <w:szCs w:val="22"/>
        </w:rPr>
        <w:t xml:space="preserve">Models, agents and frameworks will keep changing. The work itself — its boundaries, its accountability, its verification — can stay stable. Treat intelligence as replaceable and the work record as the durable asset.</w:t>
      </w:r>
    </w:p>
    <w:p>
      <w:pPr>
        <w:pStyle w:val="Heading2"/>
        <w:spacing w:after="120" w:before="280"/>
      </w:pPr>
      <w:r>
        <w:rPr>
          <w:rFonts w:ascii="Calibri" w:cs="Calibri" w:eastAsia="Calibri" w:hAnsi="Calibri"/>
          <w:b/>
          <w:bCs/>
          <w:color w:val="1F6F6A"/>
          <w:sz w:val="26"/>
          <w:szCs w:val="26"/>
        </w:rPr>
        <w:t xml:space="preserve">2.3 What this product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Not this</w:t>
            </w:r>
          </w:p>
        </w:tc>
        <w:tc>
          <w:tcPr>
            <w:tcW w:type="dxa" w:w="64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Why</w:t>
            </w:r>
          </w:p>
        </w:tc>
      </w:tr>
      <w:tr>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Agent runtime, orchestrator, or BPMN engine</w:t>
            </w:r>
          </w:p>
        </w:tc>
        <w:tc>
          <w:tcPr>
            <w:tcW w:type="dxa" w:w="64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Execution systems consume the Spec API. Partners live in Box 4.</w:t>
            </w:r>
          </w:p>
        </w:tc>
      </w:tr>
      <w:tr>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Palantir or Celonis replacement</w:t>
            </w:r>
          </w:p>
        </w:tc>
        <w:tc>
          <w:tcPr>
            <w:tcW w:type="dxa" w:w="64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Box 1 is a container consumed by reference. Partners own or feed it.</w:t>
            </w:r>
          </w:p>
        </w:tc>
      </w:tr>
      <w:tr>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A learned world model</w:t>
            </w:r>
          </w:p>
        </w:tc>
        <w:tc>
          <w:tcPr>
            <w:tcW w:type="dxa" w:w="64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The representation is governed and versioned, deliberately.</w:t>
            </w:r>
          </w:p>
        </w:tc>
      </w:tr>
      <w:tr>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Role-based workforce planner</w:t>
            </w:r>
          </w:p>
        </w:tc>
        <w:tc>
          <w:tcPr>
            <w:tcW w:type="dxa" w:w="64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Simulate actors against units, never roles.</w:t>
            </w:r>
          </w:p>
        </w:tc>
      </w:tr>
      <w:tr>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Flattering automation ROI calculator</w:t>
            </w:r>
          </w:p>
        </w:tc>
        <w:tc>
          <w:tcPr>
            <w:tcW w:type="dxa" w:w="64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Cost per verified unit. Review, exceptions, governance, residual harm and exposure stay on the sheet.</w:t>
            </w:r>
          </w:p>
        </w:tc>
      </w:tr>
    </w:tbl>
    <w:p>
      <w:pPr>
        <w:spacing w:after="200"/>
      </w:pPr>
    </w:p>
    <w:p>
      <w:pPr>
        <w:pStyle w:val="Heading2"/>
        <w:spacing w:after="120" w:before="280"/>
      </w:pPr>
      <w:r>
        <w:rPr>
          <w:rFonts w:ascii="Calibri" w:cs="Calibri" w:eastAsia="Calibri" w:hAnsi="Calibri"/>
          <w:b/>
          <w:bCs/>
          <w:color w:val="1F6F6A"/>
          <w:sz w:val="26"/>
          <w:szCs w:val="26"/>
        </w:rPr>
        <w:t xml:space="preserve">2.4 Flow</w:t>
      </w:r>
    </w:p>
    <w:p>
      <w:pPr>
        <w:spacing w:after="160" w:before="0" w:line="276"/>
      </w:pPr>
      <w:r>
        <w:rPr>
          <w:rFonts w:ascii="Calibri" w:cs="Calibri" w:eastAsia="Calibri" w:hAnsi="Calibri"/>
          <w:color w:val="222222"/>
          <w:sz w:val="22"/>
          <w:szCs w:val="22"/>
        </w:rPr>
        <w:t xml:space="preserve">Read it as V9 reads it: Box 1 is the container, not a step. The spine Intent → Discovery → Cutting → Verification → VERDICT is the only one-way flow. Economics hangs off VERDICT. Everything dashed runs against the spine. The scenario portfolio is a complete deliverable. The simulator is the continuation. Execution and the evidence runtime sit below the Spec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Box</w:t>
            </w:r>
          </w:p>
        </w:tc>
        <w:tc>
          <w:tcPr>
            <w:tcW w:type="dxa" w:w="36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Name</w:t>
            </w:r>
          </w:p>
        </w:tc>
        <w:tc>
          <w:tcPr>
            <w:tcW w:type="dxa" w:w="52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Role</w:t>
            </w:r>
          </w:p>
        </w:tc>
      </w:tr>
      <w:tr>
        <w:tc>
          <w:tcPr>
            <w:tcW w:type="dxa" w:w="1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1</w:t>
            </w:r>
          </w:p>
        </w:tc>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Enterprise Ecosystem Representation</w:t>
            </w:r>
          </w:p>
        </w:tc>
        <w:tc>
          <w:tcPr>
            <w:tcW w:type="dxa" w:w="52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Container: ontology + enterprise graph. Governed, not learned.</w:t>
            </w:r>
          </w:p>
        </w:tc>
      </w:tr>
      <w:tr>
        <w:tc>
          <w:tcPr>
            <w:tcW w:type="dxa" w:w="1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2</w:t>
            </w:r>
          </w:p>
        </w:tc>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Intent Modelling</w:t>
            </w:r>
          </w:p>
        </w:tc>
        <w:tc>
          <w:tcPr>
            <w:tcW w:type="dxa" w:w="52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TO BE DESIGNED. Freeze the output contract first.</w:t>
            </w:r>
          </w:p>
        </w:tc>
      </w:tr>
      <w:tr>
        <w:tc>
          <w:tcPr>
            <w:tcW w:type="dxa" w:w="1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3a</w:t>
            </w:r>
          </w:p>
        </w:tc>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Discovery</w:t>
            </w:r>
          </w:p>
        </w:tc>
        <w:tc>
          <w:tcPr>
            <w:tcW w:type="dxa" w:w="52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Candidates + conformance gap + coverage map. The wedge.</w:t>
            </w:r>
          </w:p>
        </w:tc>
      </w:tr>
      <w:tr>
        <w:tc>
          <w:tcPr>
            <w:tcW w:type="dxa" w:w="1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3b</w:t>
            </w:r>
          </w:p>
        </w:tc>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Work Cutting + Work Graph</w:t>
            </w:r>
          </w:p>
        </w:tc>
        <w:tc>
          <w:tcPr>
            <w:tcW w:type="dxa" w:w="52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18-attribute contracts, field provenance, typed weighted edges.</w:t>
            </w:r>
          </w:p>
        </w:tc>
      </w:tr>
      <w:tr>
        <w:tc>
          <w:tcPr>
            <w:tcW w:type="dxa" w:w="1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3c</w:t>
            </w:r>
          </w:p>
        </w:tc>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Verification Design</w:t>
            </w:r>
          </w:p>
        </w:tc>
        <w:tc>
          <w:tcPr>
            <w:tcW w:type="dxa" w:w="52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Method, independent checker, cost, objectivity, promotion machinery.</w:t>
            </w:r>
          </w:p>
        </w:tc>
      </w:tr>
      <w:tr>
        <w:tc>
          <w:tcPr>
            <w:tcW w:type="dxa" w:w="1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3d</w:t>
            </w:r>
          </w:p>
        </w:tc>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VERDICT &amp; Allocation</w:t>
            </w:r>
          </w:p>
        </w:tc>
        <w:tc>
          <w:tcPr>
            <w:tcW w:type="dxa" w:w="52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Levels, gates, S1/S2/S3, moderation log, actor policy.</w:t>
            </w:r>
          </w:p>
        </w:tc>
      </w:tr>
      <w:tr>
        <w:tc>
          <w:tcPr>
            <w:tcW w:type="dxa" w:w="1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3e</w:t>
            </w:r>
          </w:p>
        </w:tc>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Economics Engine</w:t>
            </w:r>
          </w:p>
        </w:tc>
        <w:tc>
          <w:tcPr>
            <w:tcW w:type="dxa" w:w="52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Honest case per unit × scenario. Cascade feeds cutting.</w:t>
            </w:r>
          </w:p>
        </w:tc>
      </w:tr>
      <w:tr>
        <w:tc>
          <w:tcPr>
            <w:tcW w:type="dxa" w:w="1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4+5</w:t>
            </w:r>
          </w:p>
        </w:tc>
        <w:tc>
          <w:tcPr>
            <w:tcW w:type="dxa" w:w="36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Execution + Evidence Runtime</w:t>
            </w:r>
          </w:p>
        </w:tc>
        <w:tc>
          <w:tcPr>
            <w:tcW w:type="dxa" w:w="52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Below the Spec API. We grade evidence; we do not run the work.</w:t>
            </w:r>
          </w:p>
        </w:tc>
      </w:tr>
      <w:tr>
        <w:tc>
          <w:tcPr>
            <w:tcW w:type="dxa" w:w="1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6</w:t>
            </w:r>
          </w:p>
        </w:tc>
        <w:tc>
          <w:tcPr>
            <w:tcW w:type="dxa" w:w="36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Workforce Simulator</w:t>
            </w:r>
          </w:p>
        </w:tc>
        <w:tc>
          <w:tcPr>
            <w:tcW w:type="dxa" w:w="52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Optional next step. Map is the prerequisite.</w:t>
            </w:r>
          </w:p>
        </w:tc>
      </w:tr>
    </w:tbl>
    <w:p>
      <w:pPr>
        <w:pStyle w:val="Heading1"/>
        <w:pBdr>
          <w:bottom w:val="single" w:color="1F6F6A" w:sz="12" w:space="6"/>
        </w:pBdr>
        <w:spacing w:after="160" w:before="360"/>
      </w:pPr>
      <w:r>
        <w:rPr>
          <w:rFonts w:ascii="Calibri" w:cs="Calibri" w:eastAsia="Calibri" w:hAnsi="Calibri"/>
          <w:b/>
          <w:bCs/>
          <w:color w:val="1B2A4A"/>
          <w:sz w:val="32"/>
          <w:szCs w:val="32"/>
        </w:rPr>
        <w:t xml:space="preserve">3. Inheritance from the V8 prototype</w:t>
      </w:r>
    </w:p>
    <w:p>
      <w:pPr>
        <w:spacing w:after="160" w:before="0" w:line="276"/>
      </w:pPr>
      <w:r>
        <w:rPr>
          <w:rFonts w:ascii="Calibri" w:cs="Calibri" w:eastAsia="Calibri" w:hAnsi="Calibri"/>
          <w:color w:val="222222"/>
          <w:sz w:val="22"/>
          <w:szCs w:val="22"/>
        </w:rPr>
        <w:t xml:space="preserve">The existing repository is a working specification-layer prototype. Colleague-demo ready. Not a sold customer product. V9 does not restart from zero. It promotes the joints that already work and replaces the arithmetic and product surface that V9 changed.</w:t>
      </w:r>
    </w:p>
    <w:p>
      <w:pPr>
        <w:pStyle w:val="Heading2"/>
        <w:spacing w:after="120" w:before="280"/>
      </w:pPr>
      <w:r>
        <w:rPr>
          <w:rFonts w:ascii="Calibri" w:cs="Calibri" w:eastAsia="Calibri" w:hAnsi="Calibri"/>
          <w:b/>
          <w:bCs/>
          <w:color w:val="1F6F6A"/>
          <w:sz w:val="26"/>
          <w:szCs w:val="26"/>
        </w:rPr>
        <w:t xml:space="preserve">3.1 Keep — load-bearing and already proven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60"/>
        <w:gridCol w:w="6120"/>
      </w:tblGrid>
      <w:tr>
        <w:trPr>
          <w:tblHeader/>
        </w:trPr>
        <w:tc>
          <w:tcPr>
            <w:tcW w:type="dxa" w:w="396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Asset</w:t>
            </w:r>
          </w:p>
        </w:tc>
        <w:tc>
          <w:tcPr>
            <w:tcW w:type="dxa" w:w="612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Why it survives</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18-attribute Work Unit</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V9 still orbits this record.</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Owner ≠ actor</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Accountability boundary is not the execution boundary.</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Provenance enum</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observed / declared / inferred / designed. Stops invented work acquiring authority.</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Draft → reconciled → authoritative</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The Work Unit is the only merge point.</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Variants as patches</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Prevents inventory explosion.</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Four edge types</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sequence, shared_object, shared_resource, reciprocal.</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Seven verification methods</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Independence is what makes a method worth its cost.</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Deterministic VERDICT, never LLM-judged</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Allocation must be auditable.</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Promotion human, demotion automatic</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Safety bias toward less autonomy.</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Four costing disciplines as computation</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This is how 95 hours became 61.8.</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Spec checks: authority, evidence, condition, acceptance</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Governance by construction.</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Postgres for both graphs</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Deliberate ops choice, not a conceptual divergence.</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Alembic + wep_app + RLS</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Tenant isolation that fails closed.</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Per-org X-Spec-Key, hashed, shown once</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Spec consumers are tenants.</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Import quality gate (GQS philosophy)</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Thin or dishonest genomes do not persist.</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LLM output must be a literal substring</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Models cannot put words in a speaker’s mouth.</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Tests force LLM off</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CI never makes billed calls.</w:t>
            </w:r>
          </w:p>
        </w:tc>
      </w:tr>
      <w:tr>
        <w:tc>
          <w:tcPr>
            <w:tcW w:type="dxa" w:w="396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Inferred vs confirmed scores</w:t>
            </w:r>
          </w:p>
        </w:tc>
        <w:tc>
          <w:tcPr>
            <w:tcW w:type="dxa" w:w="612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 census draft cannot overwrite a human confirmation.</w:t>
            </w:r>
          </w:p>
        </w:tc>
      </w:tr>
      <w:tr>
        <w:tc>
          <w:tcPr>
            <w:tcW w:type="dxa" w:w="396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Honesty matrix in-repo</w:t>
            </w:r>
          </w:p>
        </w:tc>
        <w:tc>
          <w:tcPr>
            <w:tcW w:type="dxa" w:w="612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Enforced versus specified-not-enforced, updated in the same PR.</w:t>
            </w:r>
          </w:p>
        </w:tc>
      </w:tr>
    </w:tbl>
    <w:p>
      <w:pPr>
        <w:spacing w:after="200"/>
      </w:pPr>
    </w:p>
    <w:p>
      <w:pPr>
        <w:pStyle w:val="Heading2"/>
        <w:spacing w:after="120" w:before="280"/>
      </w:pPr>
      <w:r>
        <w:rPr>
          <w:rFonts w:ascii="Calibri" w:cs="Calibri" w:eastAsia="Calibri" w:hAnsi="Calibri"/>
          <w:b/>
          <w:bCs/>
          <w:color w:val="1F6F6A"/>
          <w:sz w:val="26"/>
          <w:szCs w:val="26"/>
        </w:rPr>
        <w:t xml:space="preserve">3.2 Rewrite — V9 changed the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V8 behaviour</w:t>
            </w:r>
          </w:p>
        </w:tc>
        <w:tc>
          <w:tcPr>
            <w:tcW w:type="dxa" w:w="58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V9 requirement</w:t>
            </w:r>
          </w:p>
        </w:tc>
      </w:tr>
      <w:tr>
        <w:tc>
          <w:tcPr>
            <w:tcW w:type="dxa" w:w="4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Mean of seven scores → level</w:t>
            </w:r>
          </w:p>
        </w:tc>
        <w:tc>
          <w:tcPr>
            <w:tcW w:type="dxa" w:w="5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Readiness / Restraint → banded level. V is derived from verification cost and objectivity.</w:t>
            </w:r>
          </w:p>
        </w:tc>
      </w:tr>
      <w:tr>
        <w:tc>
          <w:tcPr>
            <w:tcW w:type="dxa" w:w="4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One recommended level</w:t>
            </w:r>
          </w:p>
        </w:tc>
        <w:tc>
          <w:tcPr>
            <w:tcW w:type="dxa" w:w="5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S1 floor / S2 derived / S3 ceiling. Appetite never relaxes a gate.</w:t>
            </w:r>
          </w:p>
        </w:tc>
      </w:tr>
      <w:tr>
        <w:tc>
          <w:tcPr>
            <w:tcW w:type="dxa" w:w="4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Four hard gates</w:t>
            </w:r>
          </w:p>
        </w:tc>
        <w:tc>
          <w:tcPr>
            <w:tcW w:type="dxa" w:w="5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Five gates in the execution path. A gated action is unreachable, not expensive.</w:t>
            </w:r>
          </w:p>
        </w:tc>
      </w:tr>
      <w:tr>
        <w:tc>
          <w:tcPr>
            <w:tcW w:type="dxa" w:w="4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Do + verify + exceptions + maintenance</w:t>
            </w:r>
          </w:p>
        </w:tc>
        <w:tc>
          <w:tcPr>
            <w:tcW w:type="dxa" w:w="5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Add residual harm, correlated exposure + controls, rule-debt ledger, sub-task vs end-to-end cascade.</w:t>
            </w:r>
          </w:p>
        </w:tc>
      </w:tr>
      <w:tr>
        <w:tc>
          <w:tcPr>
            <w:tcW w:type="dxa" w:w="4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Edge types exist</w:t>
            </w:r>
          </w:p>
        </w:tc>
        <w:tc>
          <w:tcPr>
            <w:tcW w:type="dxa" w:w="5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Typed weighted edges from traces. Named largest gap (O1).</w:t>
            </w:r>
          </w:p>
        </w:tc>
      </w:tr>
      <w:tr>
        <w:tc>
          <w:tcPr>
            <w:tcW w:type="dxa" w:w="4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Intent as document pile</w:t>
            </w:r>
          </w:p>
        </w:tc>
        <w:tc>
          <w:tcPr>
            <w:tcW w:type="dxa" w:w="5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Intent records with versioning that raises re-derivation tasks.</w:t>
            </w:r>
          </w:p>
        </w:tc>
      </w:tr>
      <w:tr>
        <w:tc>
          <w:tcPr>
            <w:tcW w:type="dxa" w:w="4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Spec payload = Work Unit</w:t>
            </w:r>
          </w:p>
        </w:tc>
        <w:tc>
          <w:tcPr>
            <w:tcW w:type="dxa" w:w="5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Spec bundle = contract + actor policy + gates + verification spec.</w:t>
            </w:r>
          </w:p>
        </w:tc>
      </w:tr>
      <w:tr>
        <w:tc>
          <w:tcPr>
            <w:tcW w:type="dxa" w:w="4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Completion vs contract text</w:t>
            </w:r>
          </w:p>
        </w:tc>
        <w:tc>
          <w:tcPr>
            <w:tcW w:type="dxa" w:w="5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Evidence runtime grades object condition, never the execution log alone.</w:t>
            </w:r>
          </w:p>
        </w:tc>
      </w:tr>
      <w:tr>
        <w:tc>
          <w:tcPr>
            <w:tcW w:type="dxa" w:w="42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Unit-level provenance</w:t>
            </w:r>
          </w:p>
        </w:tc>
        <w:tc>
          <w:tcPr>
            <w:tcW w:type="dxa" w:w="5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Provenance per field of the 18-attribute contract.</w:t>
            </w:r>
          </w:p>
        </w:tc>
      </w:tr>
      <w:tr>
        <w:tc>
          <w:tcPr>
            <w:tcW w:type="dxa" w:w="42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Shared spec key, some routes open</w:t>
            </w:r>
          </w:p>
        </w:tc>
        <w:tc>
          <w:tcPr>
            <w:tcW w:type="dxa" w:w="5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SSO for humans, service principals for executors, RLS on every tenant table.</w:t>
            </w:r>
          </w:p>
        </w:tc>
      </w:tr>
    </w:tbl>
    <w:p>
      <w:pPr>
        <w:spacing w:after="200"/>
      </w:pPr>
    </w:p>
    <w:p>
      <w:pPr>
        <w:pStyle w:val="Heading2"/>
        <w:spacing w:after="120" w:before="280"/>
      </w:pPr>
      <w:r>
        <w:rPr>
          <w:rFonts w:ascii="Calibri" w:cs="Calibri" w:eastAsia="Calibri" w:hAnsi="Calibri"/>
          <w:b/>
          <w:bCs/>
          <w:color w:val="1F6F6A"/>
          <w:sz w:val="26"/>
          <w:szCs w:val="26"/>
        </w:rPr>
        <w:t xml:space="preserve">3.3 Do not carry forward</w:t>
      </w:r>
    </w:p>
    <w:p>
      <w:pPr>
        <w:pStyle w:val="ListParagraph"/>
        <w:numPr>
          <w:ilvl w:val="0"/>
          <w:numId w:val="2"/>
        </w:numPr>
        <w:spacing w:after="80" w:line="276"/>
      </w:pPr>
      <w:r>
        <w:rPr>
          <w:rFonts w:ascii="Calibri" w:cs="Calibri" w:eastAsia="Calibri" w:hAnsi="Calibri"/>
          <w:color w:val="222222"/>
          <w:sz w:val="22"/>
          <w:szCs w:val="22"/>
        </w:rPr>
        <w:t xml:space="preserve">A global dev-spec-key-change-me anywhere.</w:t>
      </w:r>
    </w:p>
    <w:p>
      <w:pPr>
        <w:pStyle w:val="ListParagraph"/>
        <w:numPr>
          <w:ilvl w:val="0"/>
          <w:numId w:val="2"/>
        </w:numPr>
        <w:spacing w:after="80" w:line="276"/>
      </w:pPr>
      <w:r>
        <w:rPr>
          <w:rFonts w:ascii="Calibri" w:cs="Calibri" w:eastAsia="Calibri" w:hAnsi="Calibri"/>
          <w:color w:val="222222"/>
          <w:sz w:val="22"/>
          <w:szCs w:val="22"/>
        </w:rPr>
        <w:t xml:space="preserve">create_all() on boot. Schema is Alembic-only.</w:t>
      </w:r>
    </w:p>
    <w:p>
      <w:pPr>
        <w:pStyle w:val="ListParagraph"/>
        <w:numPr>
          <w:ilvl w:val="0"/>
          <w:numId w:val="2"/>
        </w:numPr>
        <w:spacing w:after="80" w:line="276"/>
      </w:pPr>
      <w:r>
        <w:rPr>
          <w:rFonts w:ascii="Calibri" w:cs="Calibri" w:eastAsia="Calibri" w:hAnsi="Calibri"/>
          <w:color w:val="222222"/>
          <w:sz w:val="22"/>
          <w:szCs w:val="22"/>
        </w:rPr>
        <w:t xml:space="preserve">Open inventory routes that ignore a missing key. Fail closed.</w:t>
      </w:r>
    </w:p>
    <w:p>
      <w:pPr>
        <w:pStyle w:val="ListParagraph"/>
        <w:numPr>
          <w:ilvl w:val="0"/>
          <w:numId w:val="2"/>
        </w:numPr>
        <w:spacing w:after="80" w:line="276"/>
      </w:pPr>
      <w:r>
        <w:rPr>
          <w:rFonts w:ascii="Calibri" w:cs="Calibri" w:eastAsia="Calibri" w:hAnsi="Calibri"/>
          <w:color w:val="222222"/>
          <w:sz w:val="22"/>
          <w:szCs w:val="22"/>
        </w:rPr>
        <w:t xml:space="preserve">Caller-supplied hashes treated as tamper evidence.</w:t>
      </w:r>
    </w:p>
    <w:p>
      <w:pPr>
        <w:pStyle w:val="ListParagraph"/>
        <w:numPr>
          <w:ilvl w:val="0"/>
          <w:numId w:val="2"/>
        </w:numPr>
        <w:spacing w:after="80" w:line="276"/>
      </w:pPr>
      <w:r>
        <w:rPr>
          <w:rFonts w:ascii="Calibri" w:cs="Calibri" w:eastAsia="Calibri" w:hAnsi="Calibri"/>
          <w:color w:val="222222"/>
          <w:sz w:val="22"/>
          <w:szCs w:val="22"/>
        </w:rPr>
        <w:t xml:space="preserve">Demo paths that persist units a quality gate rejected.</w:t>
      </w:r>
    </w:p>
    <w:p>
      <w:pPr>
        <w:pStyle w:val="ListParagraph"/>
        <w:numPr>
          <w:ilvl w:val="0"/>
          <w:numId w:val="2"/>
        </w:numPr>
        <w:spacing w:after="80" w:line="276"/>
      </w:pPr>
      <w:r>
        <w:rPr>
          <w:rFonts w:ascii="Calibri" w:cs="Calibri" w:eastAsia="Calibri" w:hAnsi="Calibri"/>
          <w:color w:val="222222"/>
          <w:sz w:val="22"/>
          <w:szCs w:val="22"/>
        </w:rPr>
        <w:t xml:space="preserve">An invented fifth scoring dimension dressed as V8.</w:t>
      </w:r>
    </w:p>
    <w:p>
      <w:pPr>
        <w:pStyle w:val="ListParagraph"/>
        <w:numPr>
          <w:ilvl w:val="0"/>
          <w:numId w:val="2"/>
        </w:numPr>
        <w:spacing w:after="80" w:line="276"/>
      </w:pPr>
      <w:r>
        <w:rPr>
          <w:rFonts w:ascii="Calibri" w:cs="Calibri" w:eastAsia="Calibri" w:hAnsi="Calibri"/>
          <w:color w:val="222222"/>
          <w:sz w:val="22"/>
          <w:szCs w:val="22"/>
        </w:rPr>
        <w:t xml:space="preserve">Scout-declared genomes labelled observed.</w:t>
      </w:r>
    </w:p>
    <w:p>
      <w:pPr>
        <w:pStyle w:val="ListParagraph"/>
        <w:numPr>
          <w:ilvl w:val="0"/>
          <w:numId w:val="2"/>
        </w:numPr>
        <w:spacing w:after="80" w:line="276"/>
      </w:pPr>
      <w:r>
        <w:rPr>
          <w:rFonts w:ascii="Calibri" w:cs="Calibri" w:eastAsia="Calibri" w:hAnsi="Calibri"/>
          <w:color w:val="222222"/>
          <w:sz w:val="22"/>
          <w:szCs w:val="22"/>
        </w:rPr>
        <w:t xml:space="preserve">A Scout-only writer that bypasses the quality gate.</w:t>
      </w:r>
    </w:p>
    <w:p>
      <w:pPr>
        <w:pStyle w:val="ListParagraph"/>
        <w:numPr>
          <w:ilvl w:val="0"/>
          <w:numId w:val="2"/>
        </w:numPr>
        <w:spacing w:after="80" w:line="276"/>
      </w:pPr>
      <w:r>
        <w:rPr>
          <w:rFonts w:ascii="Calibri" w:cs="Calibri" w:eastAsia="Calibri" w:hAnsi="Calibri"/>
          <w:color w:val="222222"/>
          <w:sz w:val="22"/>
          <w:szCs w:val="22"/>
        </w:rPr>
        <w:t xml:space="preserve">Genome Strength presented as gate clearance.</w:t>
      </w:r>
    </w:p>
    <w:p>
      <w:pPr>
        <w:pStyle w:val="ListParagraph"/>
        <w:numPr>
          <w:ilvl w:val="0"/>
          <w:numId w:val="2"/>
        </w:numPr>
        <w:spacing w:after="80" w:line="276"/>
      </w:pPr>
      <w:r>
        <w:rPr>
          <w:rFonts w:ascii="Calibri" w:cs="Calibri" w:eastAsia="Calibri" w:hAnsi="Calibri"/>
          <w:color w:val="222222"/>
          <w:sz w:val="22"/>
          <w:szCs w:val="22"/>
        </w:rPr>
        <w:t xml:space="preserve">Consent theatre — receipts that never attach to units.</w:t>
      </w:r>
    </w:p>
    <w:p>
      <w:pPr>
        <w:pStyle w:val="ListParagraph"/>
        <w:numPr>
          <w:ilvl w:val="0"/>
          <w:numId w:val="2"/>
        </w:numPr>
        <w:spacing w:after="80" w:line="276"/>
      </w:pPr>
      <w:r>
        <w:rPr>
          <w:rFonts w:ascii="Calibri" w:cs="Calibri" w:eastAsia="Calibri" w:hAnsi="Calibri"/>
          <w:color w:val="222222"/>
          <w:sz w:val="22"/>
          <w:szCs w:val="22"/>
        </w:rPr>
        <w:t xml:space="preserve">Adaptive-AI interviewer claims while the question bank is static.</w:t>
      </w:r>
    </w:p>
    <w:p>
      <w:pPr>
        <w:pStyle w:val="ListParagraph"/>
        <w:numPr>
          <w:ilvl w:val="0"/>
          <w:numId w:val="2"/>
        </w:numPr>
        <w:spacing w:after="80" w:line="276"/>
      </w:pPr>
      <w:r>
        <w:rPr>
          <w:rFonts w:ascii="Calibri" w:cs="Calibri" w:eastAsia="Calibri" w:hAnsi="Calibri"/>
          <w:color w:val="222222"/>
          <w:sz w:val="22"/>
          <w:szCs w:val="22"/>
        </w:rPr>
        <w:t xml:space="preserve">Point-estimate forecasts and role-level headcount as the planning primitive.</w:t>
      </w:r>
    </w:p>
    <w:p>
      <w:pPr>
        <w:pStyle w:val="Heading2"/>
        <w:spacing w:after="120" w:before="280"/>
      </w:pPr>
      <w:r>
        <w:rPr>
          <w:rFonts w:ascii="Calibri" w:cs="Calibri" w:eastAsia="Calibri" w:hAnsi="Calibri"/>
          <w:b/>
          <w:bCs/>
          <w:color w:val="1F6F6A"/>
          <w:sz w:val="26"/>
          <w:szCs w:val="26"/>
        </w:rPr>
        <w:t xml:space="preserve">3.4 Scout in V9 — face of Discovery, not a fork</w:t>
      </w:r>
    </w:p>
    <w:p>
      <w:pPr>
        <w:spacing w:after="160" w:before="0" w:line="276"/>
      </w:pPr>
      <w:r>
        <w:rPr>
          <w:rFonts w:ascii="Calibri" w:cs="Calibri" w:eastAsia="Calibri" w:hAnsi="Calibri"/>
          <w:color w:val="222222"/>
          <w:sz w:val="22"/>
          <w:szCs w:val="22"/>
        </w:rPr>
        <w:t xml:space="preserve">Part K of the V8 document is the honest ledger of what Scout actually is. V9 does not rewind that honesty. It promotes Scout from an appended capture instrument to the client-facing surface of Box 3a, and it extends Scout so the rest of V9 has something real to consume.</w:t>
      </w:r>
    </w:p>
    <w:p>
      <w:pPr>
        <w:spacing w:after="160" w:before="0" w:line="276"/>
      </w:pPr>
      <w:r>
        <w:rPr>
          <w:rFonts w:ascii="Calibri" w:cs="Calibri" w:eastAsia="Calibri" w:hAnsi="Calibri"/>
          <w:color w:val="222222"/>
          <w:sz w:val="22"/>
          <w:szCs w:val="22"/>
        </w:rPr>
        <w:t xml:space="preserve">Scout is how a practitioner meets the platform: founder why, function-leader declared map, SME lived practice, plus structured and unstructured ingest. Every path writes into Discovery. None of them is the Work Unit of record until it passes the same contract, provenance, and quality rules as a document-backed import. Scout does not sit on the spine.</w:t>
      </w:r>
    </w:p>
    <w:p>
      <w:pPr>
        <w:pStyle w:val="ListParagraph"/>
        <w:numPr>
          <w:ilvl w:val="0"/>
          <w:numId w:val="2"/>
        </w:numPr>
        <w:spacing w:after="80" w:line="276"/>
      </w:pPr>
      <w:r>
        <w:rPr>
          <w:rFonts w:ascii="Calibri" w:cs="Calibri" w:eastAsia="Calibri" w:hAnsi="Calibri"/>
          <w:color w:val="222222"/>
          <w:sz w:val="22"/>
          <w:szCs w:val="22"/>
        </w:rPr>
        <w:t xml:space="preserve">Lift: two tracks on one grid; nine live fields; Genome Strength as session completeness; honest elevations; generate through the shared import; interview provenance declared; server-side file hash; revocable consent receipts; substring guard on extraction.</w:t>
      </w:r>
    </w:p>
    <w:p>
      <w:pPr>
        <w:pStyle w:val="ListParagraph"/>
        <w:numPr>
          <w:ilvl w:val="0"/>
          <w:numId w:val="2"/>
        </w:numPr>
        <w:spacing w:after="80" w:line="276"/>
      </w:pPr>
      <w:r>
        <w:rPr>
          <w:rFonts w:ascii="Calibri" w:cs="Calibri" w:eastAsia="Calibri" w:hAnsi="Calibri"/>
          <w:color w:val="222222"/>
          <w:sz w:val="22"/>
          <w:szCs w:val="22"/>
        </w:rPr>
        <w:t xml:space="preserve">Ship in V9: Function Pack v0 for the wedge function; consent required and written onto candidates; unstructured ingest with the same substring rule; coverage map and judgment zones inside Scout; field-level provenance on generate; dedup in Discovery; F1 split in cutting; founder-versus-SME rows in the gap report.</w:t>
      </w:r>
    </w:p>
    <w:p>
      <w:pPr>
        <w:pStyle w:val="ListParagraph"/>
        <w:numPr>
          <w:ilvl w:val="0"/>
          <w:numId w:val="2"/>
        </w:numPr>
        <w:spacing w:after="80" w:line="276"/>
      </w:pPr>
      <w:r>
        <w:rPr>
          <w:rFonts w:ascii="Calibri" w:cs="Calibri" w:eastAsia="Calibri" w:hAnsi="Calibri"/>
          <w:color w:val="222222"/>
          <w:sz w:val="22"/>
          <w:szCs w:val="22"/>
        </w:rPr>
        <w:t xml:space="preserve">Do not ship in phase 1: adaptive AI follow-ups; a second Scout writer; a dedicated pain table; treating 100 percent Genome Strength as a persist licence.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6F6A" w:sz="4"/>
              <w:left w:val="single" w:color="1F6F6A" w:sz="24"/>
              <w:bottom w:val="single" w:color="1F6F6A" w:sz="4"/>
              <w:right w:val="single" w:color="1F6F6A" w:sz="4"/>
            </w:tcBorders>
            <w:shd w:fill="E6F0EF" w:val="clear"/>
            <w:tcMar>
              <w:top w:type="dxa" w:w="120"/>
              <w:left w:type="dxa" w:w="160"/>
              <w:bottom w:type="dxa" w:w="120"/>
              <w:right w:type="dxa" w:w="160"/>
            </w:tcMar>
          </w:tcPr>
          <w:p>
            <w:pPr>
              <w:spacing w:after="60"/>
            </w:pPr>
            <w:r>
              <w:rPr>
                <w:rFonts w:ascii="Calibri" w:cs="Calibri" w:eastAsia="Calibri" w:hAnsi="Calibri"/>
                <w:b/>
                <w:bCs/>
                <w:color w:val="1F6F6A"/>
                <w:sz w:val="20"/>
                <w:szCs w:val="20"/>
              </w:rPr>
              <w:t xml:space="preserve">SCOUT NON-NEGOTIABLES</w:t>
            </w:r>
          </w:p>
          <w:p>
            <w:r>
              <w:rPr>
                <w:rFonts w:ascii="Calibri" w:cs="Calibri" w:eastAsia="Calibri" w:hAnsi="Calibri"/>
                <w:color w:val="222222"/>
                <w:sz w:val="20"/>
                <w:szCs w:val="20"/>
              </w:rPr>
              <w:t xml:space="preserve">Scout-only output cannot clear an observed-weighted gate by construction. An interview is never observed. There is no Scout-specific writer. Consent is load-bearing. Elevations may not invent units. If Scout and the spine disagree, the spine wins.</w:t>
            </w:r>
          </w:p>
        </w:tc>
      </w:tr>
    </w:tbl>
    <w:p>
      <w:pPr>
        <w:spacing w:after="200"/>
      </w:pPr>
    </w:p>
    <w:p>
      <w:pPr>
        <w:pStyle w:val="Heading1"/>
        <w:pBdr>
          <w:bottom w:val="single" w:color="1F6F6A" w:sz="12" w:space="6"/>
        </w:pBdr>
        <w:spacing w:after="160" w:before="360"/>
      </w:pPr>
      <w:r>
        <w:rPr>
          <w:rFonts w:ascii="Calibri" w:cs="Calibri" w:eastAsia="Calibri" w:hAnsi="Calibri"/>
          <w:b/>
          <w:bCs/>
          <w:color w:val="1B2A4A"/>
          <w:sz w:val="32"/>
          <w:szCs w:val="32"/>
        </w:rPr>
        <w:t xml:space="preserve">4. System principles</w:t>
      </w:r>
    </w:p>
    <w:p>
      <w:pPr>
        <w:spacing w:after="160" w:before="0" w:line="276"/>
      </w:pPr>
      <w:r>
        <w:rPr>
          <w:rFonts w:ascii="Calibri" w:cs="Calibri" w:eastAsia="Calibri" w:hAnsi="Calibri"/>
          <w:color w:val="222222"/>
          <w:sz w:val="22"/>
          <w:szCs w:val="22"/>
        </w:rPr>
        <w:t xml:space="preserve">These are implementation constraints, not slogans.</w:t>
      </w:r>
    </w:p>
    <w:p>
      <w:pPr>
        <w:pStyle w:val="ListParagraph"/>
        <w:numPr>
          <w:ilvl w:val="0"/>
          <w:numId w:val="2"/>
        </w:numPr>
        <w:spacing w:after="80" w:line="276"/>
      </w:pPr>
      <w:r>
        <w:rPr>
          <w:rFonts w:ascii="Calibri" w:cs="Calibri" w:eastAsia="Calibri" w:hAnsi="Calibri"/>
          <w:color w:val="222222"/>
          <w:sz w:val="22"/>
          <w:szCs w:val="22"/>
        </w:rPr>
        <w:t xml:space="preserve">P1 Contracts over components. A joint has a versioned schema, a compatibility window, and a contract test.</w:t>
      </w:r>
    </w:p>
    <w:p>
      <w:pPr>
        <w:pStyle w:val="ListParagraph"/>
        <w:numPr>
          <w:ilvl w:val="0"/>
          <w:numId w:val="2"/>
        </w:numPr>
        <w:spacing w:after="80" w:line="276"/>
      </w:pPr>
      <w:r>
        <w:rPr>
          <w:rFonts w:ascii="Calibri" w:cs="Calibri" w:eastAsia="Calibri" w:hAnsi="Calibri"/>
          <w:color w:val="222222"/>
          <w:sz w:val="22"/>
          <w:szCs w:val="22"/>
        </w:rPr>
        <w:t xml:space="preserve">P2 Specification is not execution. Box 4 executors consume the Spec bundle. Evidence still flows through our runtime, or the autonomy they run at is unearned.</w:t>
      </w:r>
    </w:p>
    <w:p>
      <w:pPr>
        <w:pStyle w:val="ListParagraph"/>
        <w:numPr>
          <w:ilvl w:val="0"/>
          <w:numId w:val="2"/>
        </w:numPr>
        <w:spacing w:after="80" w:line="276"/>
      </w:pPr>
      <w:r>
        <w:rPr>
          <w:rFonts w:ascii="Calibri" w:cs="Calibri" w:eastAsia="Calibri" w:hAnsi="Calibri"/>
          <w:color w:val="222222"/>
          <w:sz w:val="22"/>
          <w:szCs w:val="22"/>
        </w:rPr>
        <w:t xml:space="preserve">P3 Two graphs, never merged. Enterprise Graph nodes are objects, actors, policies, states. Work Graph nodes are Work Units. Reference joins only.</w:t>
      </w:r>
    </w:p>
    <w:p>
      <w:pPr>
        <w:pStyle w:val="ListParagraph"/>
        <w:numPr>
          <w:ilvl w:val="0"/>
          <w:numId w:val="2"/>
        </w:numPr>
        <w:spacing w:after="80" w:line="276"/>
      </w:pPr>
      <w:r>
        <w:rPr>
          <w:rFonts w:ascii="Calibri" w:cs="Calibri" w:eastAsia="Calibri" w:hAnsi="Calibri"/>
          <w:color w:val="222222"/>
          <w:sz w:val="22"/>
          <w:szCs w:val="22"/>
        </w:rPr>
        <w:t xml:space="preserve">P4 Provenance is a field. Inferred attributes cannot become authoritative without a human confirmation event.</w:t>
      </w:r>
    </w:p>
    <w:p>
      <w:pPr>
        <w:pStyle w:val="ListParagraph"/>
        <w:numPr>
          <w:ilvl w:val="0"/>
          <w:numId w:val="2"/>
        </w:numPr>
        <w:spacing w:after="80" w:line="276"/>
      </w:pPr>
      <w:r>
        <w:rPr>
          <w:rFonts w:ascii="Calibri" w:cs="Calibri" w:eastAsia="Calibri" w:hAnsi="Calibri"/>
          <w:color w:val="222222"/>
          <w:sz w:val="22"/>
          <w:szCs w:val="22"/>
        </w:rPr>
        <w:t xml:space="preserve">P5 Autonomy is earned and revocable. Promotion: human plus evidence. Demotion: automatic on lagging and leading triggers. Appetite moves placement inside the gate-permitted range and never lifts a gate.</w:t>
      </w:r>
    </w:p>
    <w:p>
      <w:pPr>
        <w:pStyle w:val="ListParagraph"/>
        <w:numPr>
          <w:ilvl w:val="0"/>
          <w:numId w:val="2"/>
        </w:numPr>
        <w:spacing w:after="80" w:line="276"/>
      </w:pPr>
      <w:r>
        <w:rPr>
          <w:rFonts w:ascii="Calibri" w:cs="Calibri" w:eastAsia="Calibri" w:hAnsi="Calibri"/>
          <w:color w:val="222222"/>
          <w:sz w:val="22"/>
          <w:szCs w:val="22"/>
        </w:rPr>
        <w:t xml:space="preserve">P6 Hard limits are architectural. Returning denied and then executing is rule debt.</w:t>
      </w:r>
    </w:p>
    <w:p>
      <w:pPr>
        <w:pStyle w:val="ListParagraph"/>
        <w:numPr>
          <w:ilvl w:val="0"/>
          <w:numId w:val="2"/>
        </w:numPr>
        <w:spacing w:after="80" w:line="276"/>
      </w:pPr>
      <w:r>
        <w:rPr>
          <w:rFonts w:ascii="Calibri" w:cs="Calibri" w:eastAsia="Calibri" w:hAnsi="Calibri"/>
          <w:color w:val="222222"/>
          <w:sz w:val="22"/>
          <w:szCs w:val="22"/>
        </w:rPr>
        <w:t xml:space="preserve">P7 Honesty over theatre. Assumed numbers are labelled. Under-sampled zones are declared. STATUS may not outrun the tests.</w:t>
      </w:r>
    </w:p>
    <w:p>
      <w:pPr>
        <w:pStyle w:val="ListParagraph"/>
        <w:numPr>
          <w:ilvl w:val="0"/>
          <w:numId w:val="2"/>
        </w:numPr>
        <w:spacing w:after="80" w:line="276"/>
      </w:pPr>
      <w:r>
        <w:rPr>
          <w:rFonts w:ascii="Calibri" w:cs="Calibri" w:eastAsia="Calibri" w:hAnsi="Calibri"/>
          <w:color w:val="222222"/>
          <w:sz w:val="22"/>
          <w:szCs w:val="22"/>
        </w:rPr>
        <w:t xml:space="preserve">P8 Intelligence is a plugin. Deterministic fallbacks exist for every model path. A model-binding change raises re-validation tasks.</w:t>
      </w:r>
    </w:p>
    <w:p>
      <w:pPr>
        <w:pStyle w:val="ListParagraph"/>
        <w:numPr>
          <w:ilvl w:val="0"/>
          <w:numId w:val="2"/>
        </w:numPr>
        <w:spacing w:after="80" w:line="276"/>
      </w:pPr>
      <w:r>
        <w:rPr>
          <w:rFonts w:ascii="Calibri" w:cs="Calibri" w:eastAsia="Calibri" w:hAnsi="Calibri"/>
          <w:color w:val="222222"/>
          <w:sz w:val="22"/>
          <w:szCs w:val="22"/>
        </w:rPr>
        <w:t xml:space="preserve">P9 Events, not nightly fiction. Intent change, binding change, promotion, demotion, moderation, and forecast variance are recorded events.</w:t>
      </w:r>
    </w:p>
    <w:p>
      <w:pPr>
        <w:pStyle w:val="ListParagraph"/>
        <w:numPr>
          <w:ilvl w:val="0"/>
          <w:numId w:val="2"/>
        </w:numPr>
        <w:spacing w:after="80" w:line="276"/>
      </w:pPr>
      <w:r>
        <w:rPr>
          <w:rFonts w:ascii="Calibri" w:cs="Calibri" w:eastAsia="Calibri" w:hAnsi="Calibri"/>
          <w:color w:val="222222"/>
          <w:sz w:val="22"/>
          <w:szCs w:val="22"/>
        </w:rPr>
        <w:t xml:space="preserve">P10 One function first. Production-ready means the wedge and the scenario portfolio run on a real tenant. It does not mean every box is deep.</w:t>
      </w:r>
    </w:p>
    <w:p>
      <w:pPr>
        <w:pStyle w:val="ListParagraph"/>
        <w:numPr>
          <w:ilvl w:val="0"/>
          <w:numId w:val="2"/>
        </w:numPr>
        <w:spacing w:after="80" w:line="276"/>
      </w:pPr>
      <w:r>
        <w:rPr>
          <w:rFonts w:ascii="Calibri" w:cs="Calibri" w:eastAsia="Calibri" w:hAnsi="Calibri"/>
          <w:color w:val="222222"/>
          <w:sz w:val="22"/>
          <w:szCs w:val="22"/>
        </w:rPr>
        <w:t xml:space="preserve">P11 Scout is a face, not a fork. Capture UX may be opinionated. Contracts, gates, provenance and the Spec API may not. If Scout and the spine disagree, the spine wins.</w:t>
      </w:r>
    </w:p>
    <w:p>
      <w:pPr>
        <w:pStyle w:val="ListParagraph"/>
        <w:numPr>
          <w:ilvl w:val="0"/>
          <w:numId w:val="2"/>
        </w:numPr>
        <w:spacing w:after="80" w:line="276"/>
      </w:pPr>
      <w:r>
        <w:rPr>
          <w:rFonts w:ascii="Calibri" w:cs="Calibri" w:eastAsia="Calibri" w:hAnsi="Calibri"/>
          <w:color w:val="222222"/>
          <w:sz w:val="22"/>
          <w:szCs w:val="22"/>
        </w:rPr>
        <w:t xml:space="preserve">P12 Walkthrough over coverage. If it is not in the 12-minute path and not a joint the path cannot lie without, it waits.</w:t>
      </w:r>
    </w:p>
    <w:p>
      <w:pPr>
        <w:pStyle w:val="ListParagraph"/>
        <w:numPr>
          <w:ilvl w:val="0"/>
          <w:numId w:val="2"/>
        </w:numPr>
        <w:spacing w:after="80" w:line="276"/>
      </w:pPr>
      <w:r>
        <w:rPr>
          <w:rFonts w:ascii="Calibri" w:cs="Calibri" w:eastAsia="Calibri" w:hAnsi="Calibri"/>
          <w:color w:val="222222"/>
          <w:sz w:val="22"/>
          <w:szCs w:val="22"/>
        </w:rPr>
        <w:t xml:space="preserve">P13 Two genomes or it is not a demo. Never waive persist to fill L1.</w:t>
      </w:r>
    </w:p>
    <w:p>
      <w:pPr>
        <w:pStyle w:val="ListParagraph"/>
        <w:numPr>
          <w:ilvl w:val="0"/>
          <w:numId w:val="2"/>
        </w:numPr>
        <w:spacing w:after="80" w:line="276"/>
      </w:pPr>
      <w:r>
        <w:rPr>
          <w:rFonts w:ascii="Calibri" w:cs="Calibri" w:eastAsia="Calibri" w:hAnsi="Calibri"/>
          <w:color w:val="222222"/>
          <w:sz w:val="22"/>
          <w:szCs w:val="22"/>
        </w:rPr>
        <w:t xml:space="preserve">P14 Checkable objects first. Invoice-dispute qualifies. Judgment-only work does not qualify as Phase 1.</w:t>
      </w:r>
    </w:p>
    <w:p>
      <w:pPr>
        <w:pStyle w:val="ListParagraph"/>
        <w:numPr>
          <w:ilvl w:val="0"/>
          <w:numId w:val="2"/>
        </w:numPr>
        <w:spacing w:after="80" w:line="276"/>
      </w:pPr>
      <w:r>
        <w:rPr>
          <w:rFonts w:ascii="Calibri" w:cs="Calibri" w:eastAsia="Calibri" w:hAnsi="Calibri"/>
          <w:color w:val="222222"/>
          <w:sz w:val="22"/>
          <w:szCs w:val="22"/>
        </w:rPr>
        <w:t xml:space="preserve">P15 Packs beat snowflakes. No second pack until Phase 1 is recorded.</w:t>
      </w:r>
    </w:p>
    <w:p>
      <w:pPr>
        <w:pStyle w:val="ListParagraph"/>
        <w:numPr>
          <w:ilvl w:val="0"/>
          <w:numId w:val="2"/>
        </w:numPr>
        <w:spacing w:after="80" w:line="276"/>
      </w:pPr>
      <w:r>
        <w:rPr>
          <w:rFonts w:ascii="Calibri" w:cs="Calibri" w:eastAsia="Calibri" w:hAnsi="Calibri"/>
          <w:color w:val="222222"/>
          <w:sz w:val="22"/>
          <w:szCs w:val="22"/>
        </w:rPr>
        <w:t xml:space="preserve">P16 HONESTY is our rule-debt ledger. Publish the specified-not-enforced count.</w:t>
      </w:r>
    </w:p>
    <w:p>
      <w:pPr>
        <w:pStyle w:val="ListParagraph"/>
        <w:numPr>
          <w:ilvl w:val="0"/>
          <w:numId w:val="2"/>
        </w:numPr>
        <w:spacing w:after="80" w:line="276"/>
      </w:pPr>
      <w:r>
        <w:rPr>
          <w:rFonts w:ascii="Calibri" w:cs="Calibri" w:eastAsia="Calibri" w:hAnsi="Calibri"/>
          <w:color w:val="222222"/>
          <w:sz w:val="22"/>
          <w:szCs w:val="22"/>
        </w:rPr>
        <w:t xml:space="preserve">P17 Eval is part of the product. Ship the labelled set and the failure cases.</w:t>
      </w:r>
    </w:p>
    <w:p>
      <w:pPr>
        <w:pStyle w:val="ListParagraph"/>
        <w:numPr>
          <w:ilvl w:val="0"/>
          <w:numId w:val="2"/>
        </w:numPr>
        <w:spacing w:after="80" w:line="276"/>
      </w:pPr>
      <w:r>
        <w:rPr>
          <w:rFonts w:ascii="Calibri" w:cs="Calibri" w:eastAsia="Calibri" w:hAnsi="Calibri"/>
          <w:color w:val="222222"/>
          <w:sz w:val="22"/>
          <w:szCs w:val="22"/>
        </w:rPr>
        <w:t xml:space="preserve">P18 Unreachable means API plus harness plus UI.</w:t>
      </w:r>
    </w:p>
    <w:p>
      <w:pPr>
        <w:pStyle w:val="Heading1"/>
        <w:pBdr>
          <w:bottom w:val="single" w:color="1F6F6A" w:sz="12" w:space="6"/>
        </w:pBdr>
        <w:spacing w:after="160" w:before="360"/>
      </w:pPr>
      <w:r>
        <w:rPr>
          <w:rFonts w:ascii="Calibri" w:cs="Calibri" w:eastAsia="Calibri" w:hAnsi="Calibri"/>
          <w:b/>
          <w:bCs/>
          <w:color w:val="1B2A4A"/>
          <w:sz w:val="32"/>
          <w:szCs w:val="32"/>
        </w:rPr>
        <w:t xml:space="preserve">5. Frozen joints</w:t>
      </w:r>
    </w:p>
    <w:p>
      <w:pPr>
        <w:spacing w:after="160" w:before="0" w:line="276"/>
      </w:pPr>
      <w:r>
        <w:rPr>
          <w:rFonts w:ascii="Calibri" w:cs="Calibri" w:eastAsia="Calibri" w:hAnsi="Calibri"/>
          <w:color w:val="222222"/>
          <w:sz w:val="22"/>
          <w:szCs w:val="22"/>
        </w:rPr>
        <w:t xml:space="preserve">Freeze these before writing features. Coding agents implement to the JSON schemas in the Markdown companion. Box 2 may be undesigned internally; its output is already consumed.</w:t>
      </w:r>
    </w:p>
    <w:p>
      <w:pPr>
        <w:pStyle w:val="Heading3"/>
        <w:spacing w:after="80" w:before="200"/>
      </w:pPr>
      <w:r>
        <w:rPr>
          <w:rFonts w:ascii="Calibri" w:cs="Calibri" w:eastAsia="Calibri" w:hAnsi="Calibri"/>
          <w:b/>
          <w:bCs/>
          <w:color w:val="1B2A4A"/>
          <w:sz w:val="24"/>
          <w:szCs w:val="24"/>
        </w:rPr>
        <w:t xml:space="preserve">Joint 1 — Representation produces vocabulary and current state</w:t>
      </w:r>
    </w:p>
    <w:p>
      <w:pPr>
        <w:spacing w:after="160" w:before="0" w:line="276"/>
      </w:pPr>
      <w:r>
        <w:rPr>
          <w:rFonts w:ascii="Calibri" w:cs="Calibri" w:eastAsia="Calibri" w:hAnsi="Calibri"/>
          <w:color w:val="222222"/>
          <w:sz w:val="22"/>
          <w:szCs w:val="22"/>
        </w:rPr>
        <w:t xml:space="preserve">Object-state cards: object id, type, state, links, policies, source systems, as-of, representation version, governed flag. New types enter through a governed registry. State values come from the type’s state machine. Partners may own the store; we persist references.</w:t>
      </w:r>
    </w:p>
    <w:p>
      <w:pPr>
        <w:pStyle w:val="Heading3"/>
        <w:spacing w:after="80" w:before="200"/>
      </w:pPr>
      <w:r>
        <w:rPr>
          <w:rFonts w:ascii="Calibri" w:cs="Calibri" w:eastAsia="Calibri" w:hAnsi="Calibri"/>
          <w:b/>
          <w:bCs/>
          <w:color w:val="1B2A4A"/>
          <w:sz w:val="24"/>
          <w:szCs w:val="24"/>
        </w:rPr>
        <w:t xml:space="preserve">Joint 2 — Intent record (freeze first, design Box 2 behind it)</w:t>
      </w:r>
    </w:p>
    <w:p>
      <w:pPr>
        <w:spacing w:after="160" w:before="0" w:line="276"/>
      </w:pPr>
      <w:r>
        <w:rPr>
          <w:rFonts w:ascii="Calibri" w:cs="Calibri" w:eastAsia="Calibri" w:hAnsi="Calibri"/>
          <w:color w:val="222222"/>
          <w:sz w:val="22"/>
          <w:szCs w:val="22"/>
        </w:rPr>
        <w:t xml:space="preserve">Minimum fields Discovery needs: intent id, outcome, constraints, owner, guardrails, version. A version bump must enqueue re-derivation tasks on linked Work Units — the same class of event as a model-binding change. Constitution layers flow down as inherited guardrails. Internals remain TO BE DESIGNED.</w:t>
      </w:r>
    </w:p>
    <w:p>
      <w:pPr>
        <w:pStyle w:val="Heading3"/>
        <w:spacing w:after="80" w:before="200"/>
      </w:pPr>
      <w:r>
        <w:rPr>
          <w:rFonts w:ascii="Calibri" w:cs="Calibri" w:eastAsia="Calibri" w:hAnsi="Calibri"/>
          <w:b/>
          <w:bCs/>
          <w:color w:val="1B2A4A"/>
          <w:sz w:val="24"/>
          <w:szCs w:val="24"/>
        </w:rPr>
        <w:t xml:space="preserve">Joint 3 — Candidate Work Unit</w:t>
      </w:r>
    </w:p>
    <w:p>
      <w:pPr>
        <w:spacing w:after="160" w:before="0" w:line="276"/>
      </w:pPr>
      <w:r>
        <w:rPr>
          <w:rFonts w:ascii="Calibri" w:cs="Calibri" w:eastAsia="Calibri" w:hAnsi="Calibri"/>
          <w:color w:val="222222"/>
          <w:sz w:val="22"/>
          <w:szCs w:val="22"/>
        </w:rPr>
        <w:t xml:space="preserve">Proposed name, object type, current and desired condition, provenance, evidence refs, source (upward traces / downward intent / declared documentation), confidence, coverage flags, linked intent. Documentation is declared input, never truth.</w:t>
      </w:r>
    </w:p>
    <w:p>
      <w:pPr>
        <w:pStyle w:val="Heading3"/>
        <w:spacing w:after="80" w:before="200"/>
      </w:pPr>
      <w:r>
        <w:rPr>
          <w:rFonts w:ascii="Calibri" w:cs="Calibri" w:eastAsia="Calibri" w:hAnsi="Calibri"/>
          <w:b/>
          <w:bCs/>
          <w:color w:val="1B2A4A"/>
          <w:sz w:val="24"/>
          <w:szCs w:val="24"/>
        </w:rPr>
        <w:t xml:space="preserve">Joint 4 — Work Unit contract</w:t>
      </w:r>
    </w:p>
    <w:p>
      <w:pPr>
        <w:spacing w:after="160" w:before="0" w:line="276"/>
      </w:pPr>
      <w:r>
        <w:rPr>
          <w:rFonts w:ascii="Calibri" w:cs="Calibri" w:eastAsia="Calibri" w:hAnsi="Calibri"/>
          <w:color w:val="222222"/>
          <w:sz w:val="22"/>
          <w:szCs w:val="22"/>
        </w:rPr>
        <w:t xml:space="preserve">The 18 attributes plus field-level provenance, owner, actor type, status, and variant. A unit may not leave cutting unless the desired condition is checkable. Four granularity lints fail the unit out if more than one owner can be blamed, the condition cannot be checked by a non-executor, more than one business object changes, or scope exceeds the executor’s horizon. Variant keys run coarse to fine. Most restrictive published level wins.</w:t>
      </w:r>
    </w:p>
    <w:p>
      <w:pPr>
        <w:pStyle w:val="Heading3"/>
        <w:spacing w:after="80" w:before="200"/>
      </w:pPr>
      <w:r>
        <w:rPr>
          <w:rFonts w:ascii="Calibri" w:cs="Calibri" w:eastAsia="Calibri" w:hAnsi="Calibri"/>
          <w:b/>
          <w:bCs/>
          <w:color w:val="1B2A4A"/>
          <w:sz w:val="24"/>
          <w:szCs w:val="24"/>
        </w:rPr>
        <w:t xml:space="preserve">Joint 5 — Work Graph edge</w:t>
      </w:r>
    </w:p>
    <w:p>
      <w:pPr>
        <w:spacing w:after="160" w:before="0" w:line="276"/>
      </w:pPr>
      <w:r>
        <w:rPr>
          <w:rFonts w:ascii="Calibri" w:cs="Calibri" w:eastAsia="Calibri" w:hAnsi="Calibri"/>
          <w:color w:val="222222"/>
          <w:sz w:val="22"/>
          <w:szCs w:val="22"/>
        </w:rPr>
        <w:t xml:space="preserve">From, to, type, weight (frequency, lag p50, lag stability), derived-from traces. Org-chart edges are suspect by default. Real couplings show as stable-delay edges in traces. O1 remains the named largest gap: V8 auto-derived sequence only.</w:t>
      </w:r>
    </w:p>
    <w:p>
      <w:pPr>
        <w:pStyle w:val="Heading3"/>
        <w:spacing w:after="80" w:before="200"/>
      </w:pPr>
      <w:r>
        <w:rPr>
          <w:rFonts w:ascii="Calibri" w:cs="Calibri" w:eastAsia="Calibri" w:hAnsi="Calibri"/>
          <w:b/>
          <w:bCs/>
          <w:color w:val="1B2A4A"/>
          <w:sz w:val="24"/>
          <w:szCs w:val="24"/>
        </w:rPr>
        <w:t xml:space="preserve">Joint 6 — Verification spec</w:t>
      </w:r>
    </w:p>
    <w:p>
      <w:pPr>
        <w:spacing w:after="160" w:before="0" w:line="276"/>
      </w:pPr>
      <w:r>
        <w:rPr>
          <w:rFonts w:ascii="Calibri" w:cs="Calibri" w:eastAsia="Calibri" w:hAnsi="Calibri"/>
          <w:color w:val="222222"/>
          <w:sz w:val="22"/>
          <w:szCs w:val="22"/>
        </w:rPr>
        <w:t xml:space="preserve">Method, independent checker (different lineage or deterministic, separate credentials), sampling, held-out grading set, lagging and leading demotion, intervention-rate telemetry, silent-promotion flag, cost, objectivity, derived V-score. Box 3c measures. Box 3d prices. A human may not type a V that contradicts the method.</w:t>
      </w:r>
    </w:p>
    <w:p>
      <w:pPr>
        <w:pStyle w:val="Heading3"/>
        <w:spacing w:after="80" w:before="200"/>
      </w:pPr>
      <w:r>
        <w:rPr>
          <w:rFonts w:ascii="Calibri" w:cs="Calibri" w:eastAsia="Calibri" w:hAnsi="Calibri"/>
          <w:b/>
          <w:bCs/>
          <w:color w:val="1B2A4A"/>
          <w:sz w:val="24"/>
          <w:szCs w:val="24"/>
        </w:rPr>
        <w:t xml:space="preserve">Joint 7 — Scorecard and scenario strip</w:t>
      </w:r>
    </w:p>
    <w:p>
      <w:pPr>
        <w:spacing w:after="160" w:before="0" w:line="276"/>
      </w:pPr>
      <w:r>
        <w:rPr>
          <w:rFonts w:ascii="Calibri" w:cs="Calibri" w:eastAsia="Calibri" w:hAnsi="Calibri"/>
          <w:color w:val="222222"/>
          <w:sz w:val="22"/>
          <w:szCs w:val="22"/>
        </w:rPr>
        <w:t xml:space="preserve">Seven property scores, readiness, restraint, composite, derived level, gates tripped, S1/S2/S3, optional moderation (owner, reason, recorded), actor policy with preferred / fallback / escalation, p* armed only after calibration. Derivation is deterministic and server-side. Anchors are versioned. Inter-rater reliability is untested — do not market it as measured.</w:t>
      </w:r>
    </w:p>
    <w:p>
      <w:pPr>
        <w:pStyle w:val="Heading3"/>
        <w:spacing w:after="80" w:before="200"/>
      </w:pPr>
      <w:r>
        <w:rPr>
          <w:rFonts w:ascii="Calibri" w:cs="Calibri" w:eastAsia="Calibri" w:hAnsi="Calibri"/>
          <w:b/>
          <w:bCs/>
          <w:color w:val="1B2A4A"/>
          <w:sz w:val="24"/>
          <w:szCs w:val="24"/>
        </w:rPr>
        <w:t xml:space="preserve">Joint 8 — Spec API bundle</w:t>
      </w:r>
    </w:p>
    <w:p>
      <w:pPr>
        <w:spacing w:after="160" w:before="0" w:line="276"/>
      </w:pPr>
      <w:r>
        <w:rPr>
          <w:rFonts w:ascii="Calibri" w:cs="Calibri" w:eastAsia="Calibri" w:hAnsi="Calibri"/>
          <w:color w:val="222222"/>
          <w:sz w:val="22"/>
          <w:szCs w:val="22"/>
        </w:rPr>
        <w:t xml:space="preserve">An executor never receives work without its controls. Bundle = contract + verification spec + actor policy + gates + escalation + token. POST /spec/check remains the enforcement surface. Denied checks are stored. The executor must actually stop.</w:t>
      </w:r>
    </w:p>
    <w:p>
      <w:pPr>
        <w:pStyle w:val="Heading3"/>
        <w:spacing w:after="80" w:before="200"/>
      </w:pPr>
      <w:r>
        <w:rPr>
          <w:rFonts w:ascii="Calibri" w:cs="Calibri" w:eastAsia="Calibri" w:hAnsi="Calibri"/>
          <w:b/>
          <w:bCs/>
          <w:color w:val="1B2A4A"/>
          <w:sz w:val="24"/>
          <w:szCs w:val="24"/>
        </w:rPr>
        <w:t xml:space="preserve">Joint 9 — Evidence record</w:t>
      </w:r>
    </w:p>
    <w:p>
      <w:pPr>
        <w:spacing w:after="160" w:before="0" w:line="276"/>
      </w:pPr>
      <w:r>
        <w:rPr>
          <w:rFonts w:ascii="Calibri" w:cs="Calibri" w:eastAsia="Calibri" w:hAnsi="Calibri"/>
          <w:color w:val="222222"/>
          <w:sz w:val="22"/>
          <w:szCs w:val="22"/>
        </w:rPr>
        <w:t xml:space="preserve">Instance, unit, variant, executor, result, object condition verified against the system of record (not self-certified), grade versus intent, intervention log, calibration sample, recovery time, duration, exception type. Streams feed discovery, verification, allocation, economics, and intent.</w:t>
      </w:r>
    </w:p>
    <w:p>
      <w:pPr>
        <w:pStyle w:val="Heading3"/>
        <w:spacing w:after="80" w:before="200"/>
      </w:pPr>
      <w:r>
        <w:rPr>
          <w:rFonts w:ascii="Calibri" w:cs="Calibri" w:eastAsia="Calibri" w:hAnsi="Calibri"/>
          <w:b/>
          <w:bCs/>
          <w:color w:val="1B2A4A"/>
          <w:sz w:val="24"/>
          <w:szCs w:val="24"/>
        </w:rPr>
        <w:t xml:space="preserve">Joint 10 — Costed case</w:t>
      </w:r>
    </w:p>
    <w:p>
      <w:pPr>
        <w:spacing w:after="160" w:before="0" w:line="276"/>
      </w:pPr>
      <w:r>
        <w:rPr>
          <w:rFonts w:ascii="Calibri" w:cs="Calibri" w:eastAsia="Calibri" w:hAnsi="Calibri"/>
          <w:color w:val="222222"/>
          <w:sz w:val="22"/>
          <w:szCs w:val="22"/>
        </w:rPr>
        <w:t xml:space="preserve">Per unit × scenario, per 1,000 instances: execution, review, exceptions (routed / recovery / anchored), governance, residual-harm line, exposure line plus controls, cost per verified unit versus human baseline, honesty check (gross versus disciplined), cascade (sub-task success versus end-to-end). A persistent cascade gap is feedback that cutting went wrong. Recovery ≈ 2.5× first-pass is a working assumption until measured.</w:t>
      </w:r>
    </w:p>
    <w:p>
      <w:pPr>
        <w:pStyle w:val="Heading3"/>
        <w:spacing w:after="80" w:before="200"/>
      </w:pPr>
      <w:r>
        <w:rPr>
          <w:rFonts w:ascii="Calibri" w:cs="Calibri" w:eastAsia="Calibri" w:hAnsi="Calibri"/>
          <w:b/>
          <w:bCs/>
          <w:color w:val="1B2A4A"/>
          <w:sz w:val="24"/>
          <w:szCs w:val="24"/>
        </w:rPr>
        <w:t xml:space="preserve">Joint 11 — Simulator cell</w:t>
      </w:r>
    </w:p>
    <w:p>
      <w:pPr>
        <w:spacing w:after="160" w:before="0" w:line="276"/>
      </w:pPr>
      <w:r>
        <w:rPr>
          <w:rFonts w:ascii="Calibri" w:cs="Calibri" w:eastAsia="Calibri" w:hAnsi="Calibri"/>
          <w:color w:val="222222"/>
          <w:sz w:val="22"/>
          <w:szCs w:val="22"/>
        </w:rPr>
        <w:t xml:space="preserve">Appetite × demand-stream cell: demand instances, peak concurrency, capacity by actor class, budget range (never a bare point), time-to-capacity, variance versus actuals. Actor supply is a concurrency problem, not an hours problem. New-area projection is the weakest estimate and says so.</w:t>
      </w:r>
    </w:p>
    <w:p>
      <w:pPr>
        <w:pStyle w:val="Heading1"/>
        <w:pBdr>
          <w:bottom w:val="single" w:color="1F6F6A" w:sz="12" w:space="6"/>
        </w:pBdr>
        <w:spacing w:after="160" w:before="360"/>
      </w:pPr>
      <w:r>
        <w:rPr>
          <w:rFonts w:ascii="Calibri" w:cs="Calibri" w:eastAsia="Calibri" w:hAnsi="Calibri"/>
          <w:b/>
          <w:bCs/>
          <w:color w:val="1B2A4A"/>
          <w:sz w:val="32"/>
          <w:szCs w:val="32"/>
        </w:rPr>
        <w:t xml:space="preserve">6. Target architecture</w:t>
      </w:r>
    </w:p>
    <w:p>
      <w:pPr>
        <w:spacing w:after="160" w:before="0" w:line="276"/>
      </w:pPr>
      <w:r>
        <w:rPr>
          <w:rFonts w:ascii="Calibri" w:cs="Calibri" w:eastAsia="Calibri" w:hAnsi="Calibri"/>
          <w:color w:val="222222"/>
          <w:sz w:val="22"/>
          <w:szCs w:val="22"/>
        </w:rPr>
        <w:t xml:space="preserve">Modular monolith in V9.1. Extract services only when a joint is stable and a scaling or isolation reason exists.</w:t>
      </w:r>
    </w:p>
    <w:p>
      <w:pPr>
        <w:pStyle w:val="ListParagraph"/>
        <w:numPr>
          <w:ilvl w:val="0"/>
          <w:numId w:val="2"/>
        </w:numPr>
        <w:spacing w:after="80" w:line="276"/>
      </w:pPr>
      <w:r>
        <w:rPr>
          <w:rFonts w:ascii="Calibri" w:cs="Calibri" w:eastAsia="Calibri" w:hAnsi="Calibri"/>
          <w:color w:val="222222"/>
          <w:sz w:val="22"/>
          <w:szCs w:val="22"/>
        </w:rPr>
        <w:t xml:space="preserve">API: FastAPI, Python 3.12. OpenAPI is the contract surface.</w:t>
      </w:r>
    </w:p>
    <w:p>
      <w:pPr>
        <w:pStyle w:val="ListParagraph"/>
        <w:numPr>
          <w:ilvl w:val="0"/>
          <w:numId w:val="2"/>
        </w:numPr>
        <w:spacing w:after="80" w:line="276"/>
      </w:pPr>
      <w:r>
        <w:rPr>
          <w:rFonts w:ascii="Calibri" w:cs="Calibri" w:eastAsia="Calibri" w:hAnsi="Calibri"/>
          <w:color w:val="222222"/>
          <w:sz w:val="22"/>
          <w:szCs w:val="22"/>
        </w:rPr>
        <w:t xml:space="preserve">Database: PostgreSQL 16 with RLS and pgcrypto. Graphs stay in tables until edge analytics forces otherwise.</w:t>
      </w:r>
    </w:p>
    <w:p>
      <w:pPr>
        <w:pStyle w:val="ListParagraph"/>
        <w:numPr>
          <w:ilvl w:val="0"/>
          <w:numId w:val="2"/>
        </w:numPr>
        <w:spacing w:after="80" w:line="276"/>
      </w:pPr>
      <w:r>
        <w:rPr>
          <w:rFonts w:ascii="Calibri" w:cs="Calibri" w:eastAsia="Calibri" w:hAnsi="Calibri"/>
          <w:color w:val="222222"/>
          <w:sz w:val="22"/>
          <w:szCs w:val="22"/>
        </w:rPr>
        <w:t xml:space="preserve">Migrations: Alembic only.</w:t>
      </w:r>
    </w:p>
    <w:p>
      <w:pPr>
        <w:pStyle w:val="ListParagraph"/>
        <w:numPr>
          <w:ilvl w:val="0"/>
          <w:numId w:val="2"/>
        </w:numPr>
        <w:spacing w:after="80" w:line="276"/>
      </w:pPr>
      <w:r>
        <w:rPr>
          <w:rFonts w:ascii="Calibri" w:cs="Calibri" w:eastAsia="Calibri" w:hAnsi="Calibri"/>
          <w:color w:val="222222"/>
          <w:sz w:val="22"/>
          <w:szCs w:val="22"/>
        </w:rPr>
        <w:t xml:space="preserve">AuthN: OIDC for humans; hashed service keys for executors.</w:t>
      </w:r>
    </w:p>
    <w:p>
      <w:pPr>
        <w:pStyle w:val="ListParagraph"/>
        <w:numPr>
          <w:ilvl w:val="0"/>
          <w:numId w:val="2"/>
        </w:numPr>
        <w:spacing w:after="80" w:line="276"/>
      </w:pPr>
      <w:r>
        <w:rPr>
          <w:rFonts w:ascii="Calibri" w:cs="Calibri" w:eastAsia="Calibri" w:hAnsi="Calibri"/>
          <w:color w:val="222222"/>
          <w:sz w:val="22"/>
          <w:szCs w:val="22"/>
        </w:rPr>
        <w:t xml:space="preserve">AuthZ: RLS plus application roles — owner, ratifier, viewer, executor, admin. Fail closed.</w:t>
      </w:r>
    </w:p>
    <w:p>
      <w:pPr>
        <w:pStyle w:val="ListParagraph"/>
        <w:numPr>
          <w:ilvl w:val="0"/>
          <w:numId w:val="2"/>
        </w:numPr>
        <w:spacing w:after="80" w:line="276"/>
      </w:pPr>
      <w:r>
        <w:rPr>
          <w:rFonts w:ascii="Calibri" w:cs="Calibri" w:eastAsia="Calibri" w:hAnsi="Calibri"/>
          <w:color w:val="222222"/>
          <w:sz w:val="22"/>
          <w:szCs w:val="22"/>
        </w:rPr>
        <w:t xml:space="preserve">UI: React + Vite. Restyle the V8 shell. Do not rewrite it for its own sake.</w:t>
      </w:r>
    </w:p>
    <w:p>
      <w:pPr>
        <w:pStyle w:val="ListParagraph"/>
        <w:numPr>
          <w:ilvl w:val="0"/>
          <w:numId w:val="2"/>
        </w:numPr>
        <w:spacing w:after="80" w:line="276"/>
      </w:pPr>
      <w:r>
        <w:rPr>
          <w:rFonts w:ascii="Calibri" w:cs="Calibri" w:eastAsia="Calibri" w:hAnsi="Calibri"/>
          <w:color w:val="222222"/>
          <w:sz w:val="22"/>
          <w:szCs w:val="22"/>
        </w:rPr>
        <w:t xml:space="preserve">Jobs: outbox table plus one worker until a job must outlive a request.</w:t>
      </w:r>
    </w:p>
    <w:p>
      <w:pPr>
        <w:pStyle w:val="ListParagraph"/>
        <w:numPr>
          <w:ilvl w:val="0"/>
          <w:numId w:val="2"/>
        </w:numPr>
        <w:spacing w:after="80" w:line="276"/>
      </w:pPr>
      <w:r>
        <w:rPr>
          <w:rFonts w:ascii="Calibri" w:cs="Calibri" w:eastAsia="Calibri" w:hAnsi="Calibri"/>
          <w:color w:val="222222"/>
          <w:sz w:val="22"/>
          <w:szCs w:val="22"/>
        </w:rPr>
        <w:t xml:space="preserve">LLM: provider plugin, default off, substring guard, tests force off.</w:t>
      </w:r>
    </w:p>
    <w:p>
      <w:pPr>
        <w:pStyle w:val="ListParagraph"/>
        <w:numPr>
          <w:ilvl w:val="0"/>
          <w:numId w:val="2"/>
        </w:numPr>
        <w:spacing w:after="80" w:line="276"/>
      </w:pPr>
      <w:r>
        <w:rPr>
          <w:rFonts w:ascii="Calibri" w:cs="Calibri" w:eastAsia="Calibri" w:hAnsi="Calibri"/>
          <w:color w:val="222222"/>
          <w:sz w:val="22"/>
          <w:szCs w:val="22"/>
        </w:rPr>
        <w:t xml:space="preserve">Hosting: single-tenant first (one VPC, RLS-per-tenant). Pooled multi-tenant later.</w:t>
      </w:r>
    </w:p>
    <w:p>
      <w:pPr>
        <w:spacing w:after="160" w:before="0" w:line="276"/>
      </w:pPr>
      <w:r>
        <w:rPr>
          <w:rFonts w:ascii="Calibri" w:cs="Calibri" w:eastAsia="Calibri" w:hAnsi="Calibri"/>
          <w:color w:val="222222"/>
          <w:sz w:val="22"/>
          <w:szCs w:val="22"/>
        </w:rPr>
        <w:t xml:space="preserve">Suggested package layout groups code by box (representation, intent, discovery, cutting, verification, verdict, economics, spec, evidence, simulator) with a thin kernel for tenant, auth, audit, outbox, and the LLM plugin. Lift V8 functions — gates, spec checks, costing disciplines, substring guard, RLS pattern — rather than rewriting them from memory.</w:t>
      </w:r>
    </w:p>
    <w:p>
      <w:pPr>
        <w:pStyle w:val="Heading1"/>
        <w:pBdr>
          <w:bottom w:val="single" w:color="1F6F6A" w:sz="12" w:space="6"/>
        </w:pBdr>
        <w:spacing w:after="160" w:before="360"/>
      </w:pPr>
      <w:r>
        <w:rPr>
          <w:rFonts w:ascii="Calibri" w:cs="Calibri" w:eastAsia="Calibri" w:hAnsi="Calibri"/>
          <w:b/>
          <w:bCs/>
          <w:color w:val="1B2A4A"/>
          <w:sz w:val="32"/>
          <w:szCs w:val="32"/>
        </w:rPr>
        <w:t xml:space="preserve">7. Phased build</w:t>
      </w:r>
    </w:p>
    <w:p>
      <w:pPr>
        <w:spacing w:after="160" w:before="0" w:line="276"/>
      </w:pPr>
      <w:r>
        <w:rPr>
          <w:rFonts w:ascii="Calibri" w:cs="Calibri" w:eastAsia="Calibri" w:hAnsi="Calibri"/>
          <w:color w:val="222222"/>
          <w:sz w:val="22"/>
          <w:szCs w:val="22"/>
        </w:rPr>
        <w:t xml:space="preserve">Each phase has a user-visible artefact, a contract freeze, and a kill criterion. Do not start the next phase because the calendar moved.</w:t>
      </w:r>
    </w:p>
    <w:p>
      <w:pPr>
        <w:pStyle w:val="Heading2"/>
        <w:spacing w:after="120" w:before="280"/>
      </w:pPr>
      <w:r>
        <w:rPr>
          <w:rFonts w:ascii="Calibri" w:cs="Calibri" w:eastAsia="Calibri" w:hAnsi="Calibri"/>
          <w:b/>
          <w:bCs/>
          <w:color w:val="1F6F6A"/>
          <w:sz w:val="26"/>
          <w:szCs w:val="26"/>
        </w:rPr>
        <w:t xml:space="preserve">Phase −1 — See it before you build it · days 1–4</w:t>
      </w:r>
    </w:p>
    <w:p>
      <w:pPr>
        <w:spacing w:after="160" w:before="0" w:line="276"/>
      </w:pPr>
      <w:r>
        <w:rPr>
          <w:rFonts w:ascii="Calibri" w:cs="Calibri" w:eastAsia="Calibri" w:hAnsi="Calibri"/>
          <w:color w:val="222222"/>
          <w:sz w:val="22"/>
          <w:szCs w:val="22"/>
        </w:rPr>
        <w:t xml:space="preserve">Artefact: static prototype plus fixture JSON that already is the 12-minute demo. Four surfaces, G-SCOUT blocked, G-DOC cleared, honesty copy frozen, founder sign-off on a fixture recording. Kill if the founder does not want to show that recording. Do not open Phase 0 code to make it feel more real.</w:t>
      </w:r>
    </w:p>
    <w:p>
      <w:pPr>
        <w:pStyle w:val="Heading2"/>
        <w:spacing w:after="120" w:before="280"/>
      </w:pPr>
      <w:r>
        <w:rPr>
          <w:rFonts w:ascii="Calibri" w:cs="Calibri" w:eastAsia="Calibri" w:hAnsi="Calibri"/>
          <w:b/>
          <w:bCs/>
          <w:color w:val="1F6F6A"/>
          <w:sz w:val="26"/>
          <w:szCs w:val="26"/>
        </w:rPr>
        <w:t xml:space="preserve">Phase 0 — Foundation that will not rot · week 1</w:t>
      </w:r>
    </w:p>
    <w:p>
      <w:pPr>
        <w:spacing w:after="160" w:before="0" w:line="276"/>
      </w:pPr>
      <w:r>
        <w:rPr>
          <w:rFonts w:ascii="Calibri" w:cs="Calibri" w:eastAsia="Calibri" w:hAnsi="Calibri"/>
          <w:color w:val="222222"/>
          <w:sz w:val="22"/>
          <w:szCs w:val="22"/>
        </w:rPr>
        <w:t xml:space="preserve">Artefact: an empty product that cannot lie about tenants or schema. Ship repo skeleton, agent files, clean Alembic baseline, RLS HTTP suite, real identity in compose, hashed rotatable executor keys, audit on every contract write, server-side file hashing, outbox, CI with LLM forced off.</w:t>
      </w:r>
    </w:p>
    <w:p>
      <w:pPr>
        <w:spacing w:after="160" w:before="0" w:line="276"/>
      </w:pPr>
      <w:r>
        <w:rPr>
          <w:rFonts w:ascii="Calibri" w:cs="Calibri" w:eastAsia="Calibri" w:hAnsi="Calibri"/>
          <w:color w:val="222222"/>
          <w:sz w:val="22"/>
          <w:szCs w:val="22"/>
        </w:rPr>
        <w:t xml:space="preserve">Kill if RLS can be bypassed on any tenant table from the app role. Acceptance: tenant B cannot read tenant A; missing key is 401; upload hash is computed not trusted; create_all does not exist.</w:t>
      </w:r>
    </w:p>
    <w:p>
      <w:pPr>
        <w:pStyle w:val="Heading2"/>
        <w:spacing w:after="120" w:before="280"/>
      </w:pPr>
      <w:r>
        <w:rPr>
          <w:rFonts w:ascii="Calibri" w:cs="Calibri" w:eastAsia="Calibri" w:hAnsi="Calibri"/>
          <w:b/>
          <w:bCs/>
          <w:color w:val="1F6F6A"/>
          <w:sz w:val="26"/>
          <w:szCs w:val="26"/>
        </w:rPr>
        <w:t xml:space="preserve">Phase 1 — Wedge: Scout engagement, inventory and gap · weeks 2–5</w:t>
      </w:r>
    </w:p>
    <w:p>
      <w:pPr>
        <w:spacing w:after="160" w:before="0" w:line="276"/>
      </w:pPr>
      <w:r>
        <w:rPr>
          <w:rFonts w:ascii="Calibri" w:cs="Calibri" w:eastAsia="Calibri" w:hAnsi="Calibri"/>
          <w:color w:val="222222"/>
          <w:sz w:val="22"/>
          <w:szCs w:val="22"/>
        </w:rPr>
        <w:t xml:space="preserve">Artefact: a client can be walked through Scout — founder, function leader, SME, files — and leave with a conformance gap report plus candidate inventory for one function over 90 days. Ship Function Pack v0, three-track sessions, consent required to close, structured and unstructured ingest, upward traces, declared candidates from intent plus Scout plus documents, dedup, coverage map and founder-versus-SME rows inside Scout, generate-from-session through the shared import, cutting with field provenance and F1 lints, L1/L2/L3 playback.</w:t>
      </w:r>
    </w:p>
    <w:p>
      <w:pPr>
        <w:spacing w:after="160" w:before="0" w:line="276"/>
      </w:pPr>
      <w:r>
        <w:rPr>
          <w:rFonts w:ascii="Calibri" w:cs="Calibri" w:eastAsia="Calibri" w:hAnsi="Calibri"/>
          <w:color w:val="222222"/>
          <w:sz w:val="22"/>
          <w:szCs w:val="22"/>
        </w:rPr>
        <w:t xml:space="preserve">Kill if a Scout session writes observed; if generate bypasses the quality gate; if a session closes without consent; if undocumented work is dropped to prettify a chart. A 100 percent Genome Strength session that is Scout-only must fail persist and the UI must say why. This phase is the commercial wedge.</w:t>
      </w:r>
    </w:p>
    <w:p>
      <w:pPr>
        <w:pStyle w:val="Heading2"/>
        <w:spacing w:after="120" w:before="280"/>
      </w:pPr>
      <w:r>
        <w:rPr>
          <w:rFonts w:ascii="Calibri" w:cs="Calibri" w:eastAsia="Calibri" w:hAnsi="Calibri"/>
          <w:b/>
          <w:bCs/>
          <w:color w:val="1F6F6A"/>
          <w:sz w:val="26"/>
          <w:szCs w:val="26"/>
        </w:rPr>
        <w:t xml:space="preserve">Phase 2 — Verification, scenarios, honest economics · weeks 6–9</w:t>
      </w:r>
    </w:p>
    <w:p>
      <w:pPr>
        <w:spacing w:after="160" w:before="0" w:line="276"/>
      </w:pPr>
      <w:r>
        <w:rPr>
          <w:rFonts w:ascii="Calibri" w:cs="Calibri" w:eastAsia="Calibri" w:hAnsi="Calibri"/>
          <w:color w:val="222222"/>
          <w:sz w:val="22"/>
          <w:szCs w:val="22"/>
        </w:rPr>
        <w:t xml:space="preserve">Artefact: scenario portfolio — S1 / S2 / S3, moderation log, costed case per unit. Ship verification specs, derived V-score, versioned Readiness/Restraint anchors, five gates, actor policy, p* disarmed by default, promotion and demotion, residual harm, exposure, rule-debt ledger, cascade pair, Spec API 1.0 bundle and check.</w:t>
      </w:r>
    </w:p>
    <w:p>
      <w:pPr>
        <w:spacing w:after="160" w:before="0" w:line="276"/>
      </w:pPr>
      <w:r>
        <w:rPr>
          <w:rFonts w:ascii="Calibri" w:cs="Calibri" w:eastAsia="Calibri" w:hAnsi="Calibri"/>
          <w:color w:val="222222"/>
          <w:sz w:val="22"/>
          <w:szCs w:val="22"/>
        </w:rPr>
        <w:t xml:space="preserve">Kill if a UI control can raise S3 above a tripped gate, or V can be typed in contradiction to the verification method. Acceptance: S1 ≤ S2 ≤ S3 ≤ gate cap; moderation records owner and reason without rewriting derived level; economics still moves a flattering number down; a deny stops the reference harness.</w:t>
      </w:r>
    </w:p>
    <w:p>
      <w:pPr>
        <w:pStyle w:val="Heading2"/>
        <w:spacing w:after="120" w:before="280"/>
      </w:pPr>
      <w:r>
        <w:rPr>
          <w:rFonts w:ascii="Calibri" w:cs="Calibri" w:eastAsia="Calibri" w:hAnsi="Calibri"/>
          <w:b/>
          <w:bCs/>
          <w:color w:val="1F6F6A"/>
          <w:sz w:val="26"/>
          <w:szCs w:val="26"/>
        </w:rPr>
        <w:t xml:space="preserve">Phase 3 — Evidence runtime and earned autonomy · weeks 10–13</w:t>
      </w:r>
    </w:p>
    <w:p>
      <w:pPr>
        <w:spacing w:after="160" w:before="0" w:line="276"/>
      </w:pPr>
      <w:r>
        <w:rPr>
          <w:rFonts w:ascii="Calibri" w:cs="Calibri" w:eastAsia="Calibri" w:hAnsi="Calibri"/>
          <w:color w:val="222222"/>
          <w:sz w:val="22"/>
          <w:szCs w:val="22"/>
        </w:rPr>
        <w:t xml:space="preserve">Artefact: instances that produce independent evidence, and autonomy that moves. Ship evidence intake that rejects self-certified object condition, intervention logging, calibration stream, recovery-time series, silent-promotion detector, re-validation on model-binding change, rule-debt detector, reference executor harness.</w:t>
      </w:r>
    </w:p>
    <w:p>
      <w:pPr>
        <w:spacing w:after="160" w:before="0" w:line="276"/>
      </w:pPr>
      <w:r>
        <w:rPr>
          <w:rFonts w:ascii="Calibri" w:cs="Calibri" w:eastAsia="Calibri" w:hAnsi="Calibri"/>
          <w:color w:val="222222"/>
          <w:sz w:val="22"/>
          <w:szCs w:val="22"/>
        </w:rPr>
        <w:t xml:space="preserve">Kill if an executor can post a pass that only quotes its own log. We still do not run the work. We run the evidence grade and the gate.</w:t>
      </w:r>
    </w:p>
    <w:p>
      <w:pPr>
        <w:pStyle w:val="Heading2"/>
        <w:spacing w:after="120" w:before="280"/>
      </w:pPr>
      <w:r>
        <w:rPr>
          <w:rFonts w:ascii="Calibri" w:cs="Calibri" w:eastAsia="Calibri" w:hAnsi="Calibri"/>
          <w:b/>
          <w:bCs/>
          <w:color w:val="1F6F6A"/>
          <w:sz w:val="26"/>
          <w:szCs w:val="26"/>
        </w:rPr>
        <w:t xml:space="preserve">Phase 4 — Workforce simulator · weeks 14–18, only if phase 2 is sold</w:t>
      </w:r>
    </w:p>
    <w:p>
      <w:pPr>
        <w:spacing w:after="160" w:before="0" w:line="276"/>
      </w:pPr>
      <w:r>
        <w:rPr>
          <w:rFonts w:ascii="Calibri" w:cs="Calibri" w:eastAsia="Calibri" w:hAnsi="Calibri"/>
          <w:color w:val="222222"/>
          <w:sz w:val="22"/>
          <w:szCs w:val="22"/>
        </w:rPr>
        <w:t xml:space="preserve">Artefact: a scenario matrix a finance lead can budget from. Demand from the Work Graph, capacity from peak concurrency, cells of appetite × demand stream, ranges not points, governance work that grows with automation, variance back into economics, capacity constraints back into allocation.</w:t>
      </w:r>
    </w:p>
    <w:p>
      <w:pPr>
        <w:spacing w:after="160" w:before="0" w:line="276"/>
      </w:pPr>
      <w:r>
        <w:rPr>
          <w:rFonts w:ascii="Calibri" w:cs="Calibri" w:eastAsia="Calibri" w:hAnsi="Calibri"/>
          <w:color w:val="222222"/>
          <w:sz w:val="22"/>
          <w:szCs w:val="22"/>
        </w:rPr>
        <w:t xml:space="preserve">Kill if the simulator emits a single FTE number with no range and no residual-harm line.</w:t>
      </w:r>
    </w:p>
    <w:p>
      <w:pPr>
        <w:pStyle w:val="Heading2"/>
        <w:spacing w:after="120" w:before="280"/>
      </w:pPr>
      <w:r>
        <w:rPr>
          <w:rFonts w:ascii="Calibri" w:cs="Calibri" w:eastAsia="Calibri" w:hAnsi="Calibri"/>
          <w:b/>
          <w:bCs/>
          <w:color w:val="1F6F6A"/>
          <w:sz w:val="26"/>
          <w:szCs w:val="26"/>
        </w:rPr>
        <w:t xml:space="preserve">Phase 5 — Production hardening · runs beside 2–4</w:t>
      </w:r>
    </w:p>
    <w:p>
      <w:pPr>
        <w:spacing w:after="160" w:before="0" w:line="276"/>
      </w:pPr>
      <w:r>
        <w:rPr>
          <w:rFonts w:ascii="Calibri" w:cs="Calibri" w:eastAsia="Calibri" w:hAnsi="Calibri"/>
          <w:color w:val="222222"/>
          <w:sz w:val="22"/>
          <w:szCs w:val="22"/>
        </w:rPr>
        <w:t xml:space="preserve">Customer IdP, PITR, encryption at rest, key rotation, PII scanner, consent and purge on real paths or no DPDP claim, audit export, SLOs on Spec check and evidence intake, 10× wedge load test, threat model (tenant leak, token theft, evidence spoof, gate bypass, prompt injection into contract fields), on-call runbook.</w:t>
      </w:r>
    </w:p>
    <w:p>
      <w:pPr>
        <w:spacing w:after="160" w:before="0" w:line="276"/>
      </w:pPr>
      <w:r>
        <w:rPr>
          <w:rFonts w:ascii="Calibri" w:cs="Calibri" w:eastAsia="Calibri" w:hAnsi="Calibri"/>
          <w:color w:val="222222"/>
          <w:sz w:val="22"/>
          <w:szCs w:val="22"/>
        </w:rPr>
        <w:t xml:space="preserve">Production-ready for V9 means a paying tenant can complete phases 1 and 2 on their data, with phase 3 evidence intake available to their executor, isolated from every other tenant, with an audit trail a third party can read. It does not mean Box 2 is fully designed or Box 6 is live.</w:t>
      </w:r>
    </w:p>
    <w:p>
      <w:pPr>
        <w:pStyle w:val="Heading1"/>
        <w:pBdr>
          <w:bottom w:val="single" w:color="1F6F6A" w:sz="12" w:space="6"/>
        </w:pBdr>
        <w:spacing w:after="160" w:before="360"/>
      </w:pPr>
      <w:r>
        <w:rPr>
          <w:rFonts w:ascii="Calibri" w:cs="Calibri" w:eastAsia="Calibri" w:hAnsi="Calibri"/>
          <w:b/>
          <w:bCs/>
          <w:color w:val="1B2A4A"/>
          <w:sz w:val="32"/>
          <w:szCs w:val="32"/>
        </w:rPr>
        <w:t xml:space="preserve">8. Quality, safety, and honesty</w:t>
      </w:r>
    </w:p>
    <w:p>
      <w:pPr>
        <w:spacing w:after="160" w:before="0" w:line="276"/>
      </w:pPr>
      <w:r>
        <w:rPr>
          <w:rFonts w:ascii="Calibri" w:cs="Calibri" w:eastAsia="Calibri" w:hAnsi="Calibri"/>
          <w:color w:val="222222"/>
          <w:sz w:val="22"/>
          <w:szCs w:val="22"/>
        </w:rPr>
        <w:t xml:space="preserve">These suites are not optional: contract schema snapshots; HTTP RLS; VERDICT golden scorecards; scenarios cannot lift gates; spec deny stops the harness; evidence is not self-certified; promotion is human and demotion is automatic; LLM paraphrase is discarded; no PII or org hardcoding; declared genomes cannot pose as observed. CI green with skipped RLS tests is a failed CI. V8 taught this.</w:t>
      </w:r>
    </w:p>
    <w:p>
      <w:pPr>
        <w:spacing w:after="160" w:before="0" w:line="276"/>
      </w:pPr>
      <w:r>
        <w:rPr>
          <w:rFonts w:ascii="Calibri" w:cs="Calibri" w:eastAsia="Calibri" w:hAnsi="Calibri"/>
          <w:color w:val="222222"/>
          <w:sz w:val="22"/>
          <w:szCs w:val="22"/>
        </w:rPr>
        <w:t xml:space="preserve">A Work Unit is machine-enforceable only when all 18 attributes are present, acceptance is checkable, evidence names an object condition or an independent artefact, and field provenance exists. Incomplete units may be shown to humans. They must not be issued a Spec token.</w:t>
      </w:r>
    </w:p>
    <w:p>
      <w:pPr>
        <w:spacing w:after="160" w:before="0" w:line="276"/>
      </w:pPr>
      <w:r>
        <w:rPr>
          <w:rFonts w:ascii="Calibri" w:cs="Calibri" w:eastAsia="Calibri" w:hAnsi="Calibri"/>
          <w:color w:val="222222"/>
          <w:sz w:val="22"/>
          <w:szCs w:val="22"/>
        </w:rPr>
        <w:t xml:space="preserve">Five gaming-mode checks stay on: versioned acceptance criteria; stratified sampling; held-out grading set; object-condition evidence; reclassification-rate publishing.</w:t>
      </w:r>
    </w:p>
    <w:p>
      <w:pPr>
        <w:pStyle w:val="Heading1"/>
        <w:pBdr>
          <w:bottom w:val="single" w:color="1F6F6A" w:sz="12" w:space="6"/>
        </w:pBdr>
        <w:spacing w:after="160" w:before="360"/>
      </w:pPr>
      <w:r>
        <w:rPr>
          <w:rFonts w:ascii="Calibri" w:cs="Calibri" w:eastAsia="Calibri" w:hAnsi="Calibri"/>
          <w:b/>
          <w:bCs/>
          <w:color w:val="1B2A4A"/>
          <w:sz w:val="32"/>
          <w:szCs w:val="32"/>
        </w:rPr>
        <w:t xml:space="preserve">9. Operating rules for coding agents</w:t>
      </w:r>
    </w:p>
    <w:p>
      <w:pPr>
        <w:spacing w:after="160" w:before="0" w:line="276"/>
      </w:pPr>
      <w:r>
        <w:rPr>
          <w:rFonts w:ascii="Calibri" w:cs="Calibri" w:eastAsia="Calibri" w:hAnsi="Calibri"/>
          <w:color w:val="222222"/>
          <w:sz w:val="22"/>
          <w:szCs w:val="22"/>
        </w:rPr>
        <w:t xml:space="preserve">Copy into AGENTS.md. These override local cleverness.</w:t>
      </w:r>
    </w:p>
    <w:p>
      <w:pPr>
        <w:pStyle w:val="ListParagraph"/>
        <w:numPr>
          <w:ilvl w:val="0"/>
          <w:numId w:val="3"/>
        </w:numPr>
        <w:spacing w:after="80"/>
      </w:pPr>
      <w:r>
        <w:rPr>
          <w:rFonts w:ascii="Calibri" w:cs="Calibri" w:eastAsia="Calibri" w:hAnsi="Calibri"/>
          <w:sz w:val="22"/>
          <w:szCs w:val="22"/>
        </w:rPr>
        <w:t xml:space="preserve">Specify, do not execute. No job runner that performs business work.</w:t>
      </w:r>
    </w:p>
    <w:p>
      <w:pPr>
        <w:pStyle w:val="ListParagraph"/>
        <w:numPr>
          <w:ilvl w:val="0"/>
          <w:numId w:val="3"/>
        </w:numPr>
        <w:spacing w:after="80"/>
      </w:pPr>
      <w:r>
        <w:rPr>
          <w:rFonts w:ascii="Calibri" w:cs="Calibri" w:eastAsia="Calibri" w:hAnsi="Calibri"/>
          <w:sz w:val="22"/>
          <w:szCs w:val="22"/>
        </w:rPr>
        <w:t xml:space="preserve">Do not invent contract fields. If a field is missing, stop and name it.</w:t>
      </w:r>
    </w:p>
    <w:p>
      <w:pPr>
        <w:pStyle w:val="ListParagraph"/>
        <w:numPr>
          <w:ilvl w:val="0"/>
          <w:numId w:val="3"/>
        </w:numPr>
        <w:spacing w:after="80"/>
      </w:pPr>
      <w:r>
        <w:rPr>
          <w:rFonts w:ascii="Calibri" w:cs="Calibri" w:eastAsia="Calibri" w:hAnsi="Calibri"/>
          <w:sz w:val="22"/>
          <w:szCs w:val="22"/>
        </w:rPr>
        <w:t xml:space="preserve">Do not merge the Enterprise Graph with the Work Graph.</w:t>
      </w:r>
    </w:p>
    <w:p>
      <w:pPr>
        <w:pStyle w:val="ListParagraph"/>
        <w:numPr>
          <w:ilvl w:val="0"/>
          <w:numId w:val="3"/>
        </w:numPr>
        <w:spacing w:after="80"/>
      </w:pPr>
      <w:r>
        <w:rPr>
          <w:rFonts w:ascii="Calibri" w:cs="Calibri" w:eastAsia="Calibri" w:hAnsi="Calibri"/>
          <w:sz w:val="22"/>
          <w:szCs w:val="22"/>
        </w:rPr>
        <w:t xml:space="preserve">Do not let an LLM write observed provenance. Models emit inferred. Quoted text must be a literal substring of source or it is discarded.</w:t>
      </w:r>
    </w:p>
    <w:p>
      <w:pPr>
        <w:pStyle w:val="ListParagraph"/>
        <w:numPr>
          <w:ilvl w:val="0"/>
          <w:numId w:val="3"/>
        </w:numPr>
        <w:spacing w:after="80"/>
      </w:pPr>
      <w:r>
        <w:rPr>
          <w:rFonts w:ascii="Calibri" w:cs="Calibri" w:eastAsia="Calibri" w:hAnsi="Calibri"/>
          <w:sz w:val="22"/>
          <w:szCs w:val="22"/>
        </w:rPr>
        <w:t xml:space="preserve">VERDICT is deterministic and server-side. Do not ask a model for a level.</w:t>
      </w:r>
    </w:p>
    <w:p>
      <w:pPr>
        <w:pStyle w:val="ListParagraph"/>
        <w:numPr>
          <w:ilvl w:val="0"/>
          <w:numId w:val="3"/>
        </w:numPr>
        <w:spacing w:after="80"/>
      </w:pPr>
      <w:r>
        <w:rPr>
          <w:rFonts w:ascii="Calibri" w:cs="Calibri" w:eastAsia="Calibri" w:hAnsi="Calibri"/>
          <w:sz w:val="22"/>
          <w:szCs w:val="22"/>
        </w:rPr>
        <w:t xml:space="preserve">Appetite never relaxes a gate. If a UI wants that, refuse.</w:t>
      </w:r>
    </w:p>
    <w:p>
      <w:pPr>
        <w:pStyle w:val="ListParagraph"/>
        <w:numPr>
          <w:ilvl w:val="0"/>
          <w:numId w:val="3"/>
        </w:numPr>
        <w:spacing w:after="80"/>
      </w:pPr>
      <w:r>
        <w:rPr>
          <w:rFonts w:ascii="Calibri" w:cs="Calibri" w:eastAsia="Calibri" w:hAnsi="Calibri"/>
          <w:sz w:val="22"/>
          <w:szCs w:val="22"/>
        </w:rPr>
        <w:t xml:space="preserve">Promotion requires a human id. Demotion does not.</w:t>
      </w:r>
    </w:p>
    <w:p>
      <w:pPr>
        <w:pStyle w:val="ListParagraph"/>
        <w:numPr>
          <w:ilvl w:val="0"/>
          <w:numId w:val="3"/>
        </w:numPr>
        <w:spacing w:after="80"/>
      </w:pPr>
      <w:r>
        <w:rPr>
          <w:rFonts w:ascii="Calibri" w:cs="Calibri" w:eastAsia="Calibri" w:hAnsi="Calibri"/>
          <w:sz w:val="22"/>
          <w:szCs w:val="22"/>
        </w:rPr>
        <w:t xml:space="preserve">Tests never call a live model. Force LLM_PROVIDER=none in conftest.</w:t>
      </w:r>
    </w:p>
    <w:p>
      <w:pPr>
        <w:pStyle w:val="ListParagraph"/>
        <w:numPr>
          <w:ilvl w:val="0"/>
          <w:numId w:val="3"/>
        </w:numPr>
        <w:spacing w:after="80"/>
      </w:pPr>
      <w:r>
        <w:rPr>
          <w:rFonts w:ascii="Calibri" w:cs="Calibri" w:eastAsia="Calibri" w:hAnsi="Calibri"/>
          <w:sz w:val="22"/>
          <w:szCs w:val="22"/>
        </w:rPr>
        <w:t xml:space="preserve">Every tenant query goes through RLS-bound sessions. No table-owner role on request paths.</w:t>
      </w:r>
    </w:p>
    <w:p>
      <w:pPr>
        <w:pStyle w:val="ListParagraph"/>
        <w:numPr>
          <w:ilvl w:val="0"/>
          <w:numId w:val="3"/>
        </w:numPr>
        <w:spacing w:after="80"/>
      </w:pPr>
      <w:r>
        <w:rPr>
          <w:rFonts w:ascii="Calibri" w:cs="Calibri" w:eastAsia="Calibri" w:hAnsi="Calibri"/>
          <w:sz w:val="22"/>
          <w:szCs w:val="22"/>
        </w:rPr>
        <w:t xml:space="preserve">Update HONESTY.md in the same PR when a specified rule becomes enforced. Update STATUS.md only with things a test proves.</w:t>
      </w:r>
    </w:p>
    <w:p>
      <w:pPr>
        <w:pStyle w:val="ListParagraph"/>
        <w:numPr>
          <w:ilvl w:val="0"/>
          <w:numId w:val="3"/>
        </w:numPr>
        <w:spacing w:after="80"/>
      </w:pPr>
      <w:r>
        <w:rPr>
          <w:rFonts w:ascii="Calibri" w:cs="Calibri" w:eastAsia="Calibri" w:hAnsi="Calibri"/>
          <w:sz w:val="22"/>
          <w:szCs w:val="22"/>
        </w:rPr>
        <w:t xml:space="preserve">Prefer lifting a V8 function over rewriting it from memory.</w:t>
      </w:r>
    </w:p>
    <w:p>
      <w:pPr>
        <w:pStyle w:val="ListParagraph"/>
        <w:numPr>
          <w:ilvl w:val="0"/>
          <w:numId w:val="3"/>
        </w:numPr>
        <w:spacing w:after="80"/>
      </w:pPr>
      <w:r>
        <w:rPr>
          <w:rFonts w:ascii="Calibri" w:cs="Calibri" w:eastAsia="Calibri" w:hAnsi="Calibri"/>
          <w:sz w:val="22"/>
          <w:szCs w:val="22"/>
        </w:rPr>
        <w:t xml:space="preserve">Box 2 internals are TO BE DESIGNED. Implement only the frozen output contract.</w:t>
      </w:r>
    </w:p>
    <w:p>
      <w:pPr>
        <w:pStyle w:val="ListParagraph"/>
        <w:numPr>
          <w:ilvl w:val="0"/>
          <w:numId w:val="3"/>
        </w:numPr>
        <w:spacing w:after="80"/>
      </w:pPr>
      <w:r>
        <w:rPr>
          <w:rFonts w:ascii="Calibri" w:cs="Calibri" w:eastAsia="Calibri" w:hAnsi="Calibri"/>
          <w:sz w:val="22"/>
          <w:szCs w:val="22"/>
        </w:rPr>
        <w:t xml:space="preserve">If you must assume, label the assumption and add it to HONESTY.md. Do not hardcode customer names, real PII, or a global spec key.</w:t>
      </w:r>
    </w:p>
    <w:p>
      <w:pPr>
        <w:pStyle w:val="ListParagraph"/>
        <w:numPr>
          <w:ilvl w:val="0"/>
          <w:numId w:val="3"/>
        </w:numPr>
        <w:spacing w:after="80"/>
      </w:pPr>
      <w:r>
        <w:rPr>
          <w:rFonts w:ascii="Calibri" w:cs="Calibri" w:eastAsia="Calibri" w:hAnsi="Calibri"/>
          <w:sz w:val="22"/>
          <w:szCs w:val="22"/>
        </w:rPr>
        <w:t xml:space="preserve">Scout is the face of Discovery, not a fork. No Scout-specific writer. Interview provenance is declared. Genome Strength is not the persist gate. Consent is required to close a session. Elevations may not invent units.</w:t>
      </w:r>
    </w:p>
    <w:p>
      <w:pPr>
        <w:pStyle w:val="ListParagraph"/>
        <w:numPr>
          <w:ilvl w:val="0"/>
          <w:numId w:val="3"/>
        </w:numPr>
        <w:spacing w:after="80"/>
      </w:pPr>
      <w:r>
        <w:rPr>
          <w:rFonts w:ascii="Calibri" w:cs="Calibri" w:eastAsia="Calibri" w:hAnsi="Calibri"/>
          <w:sz w:val="22"/>
          <w:szCs w:val="22"/>
        </w:rPr>
        <w:t xml:space="preserve">Demo charter wins over extra features. Two genomes: G-SCOUT blocked, G-DOC cleared. No second pack until Phase 1 is recorded. A phase is not done without a recording, a walkthrough test, and a stranger-runnable script. Unreachable means API, harness, and UI.</w:t>
      </w:r>
    </w:p>
    <w:p>
      <w:pPr>
        <w:pStyle w:val="Heading1"/>
        <w:pBdr>
          <w:bottom w:val="single" w:color="1F6F6A" w:sz="12" w:space="6"/>
        </w:pBdr>
        <w:spacing w:after="160" w:before="360"/>
      </w:pPr>
      <w:r>
        <w:rPr>
          <w:rFonts w:ascii="Calibri" w:cs="Calibri" w:eastAsia="Calibri" w:hAnsi="Calibri"/>
          <w:b/>
          <w:bCs/>
          <w:color w:val="1B2A4A"/>
          <w:sz w:val="32"/>
          <w:szCs w:val="32"/>
        </w:rPr>
        <w:t xml:space="preserve">10. Open design — do not silently close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880"/>
      </w:tblGrid>
      <w:tr>
        <w:trPr>
          <w:tblHeader/>
        </w:trPr>
        <w:tc>
          <w:tcPr>
            <w:tcW w:type="dxa" w:w="14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ID</w:t>
            </w:r>
          </w:p>
        </w:tc>
        <w:tc>
          <w:tcPr>
            <w:tcW w:type="dxa" w:w="380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Item</w:t>
            </w:r>
          </w:p>
        </w:tc>
        <w:tc>
          <w:tcPr>
            <w:tcW w:type="dxa" w:w="4880"/>
            <w:tcBorders>
              <w:top w:val="single" w:color="C5CDD6" w:sz="4"/>
              <w:left w:val="single" w:color="C5CDD6" w:sz="4"/>
              <w:bottom w:val="single" w:color="C5CDD6" w:sz="4"/>
              <w:right w:val="single" w:color="C5CDD6" w:sz="4"/>
            </w:tcBorders>
            <w:shd w:fill="1B2A4A" w:val="clear"/>
            <w:tcMar>
              <w:top w:type="dxa" w:w="70"/>
              <w:left w:type="dxa" w:w="90"/>
              <w:bottom w:type="dxa" w:w="70"/>
              <w:right w:type="dxa" w:w="90"/>
            </w:tcMar>
            <w:vAlign w:val="top"/>
          </w:tcPr>
          <w:p>
            <w:r>
              <w:rPr>
                <w:rFonts w:ascii="Calibri" w:cs="Calibri" w:eastAsia="Calibri" w:hAnsi="Calibri"/>
                <w:b/>
                <w:bCs/>
                <w:color w:val="FFFFFF"/>
                <w:sz w:val="18"/>
                <w:szCs w:val="18"/>
              </w:rPr>
              <w:t xml:space="preserve">Implication</w:t>
            </w:r>
          </w:p>
        </w:tc>
      </w:tr>
      <w:tr>
        <w:tc>
          <w:tcPr>
            <w:tcW w:type="dxa" w:w="14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Box 2</w:t>
            </w:r>
          </w:p>
        </w:tc>
        <w:tc>
          <w:tcPr>
            <w:tcW w:type="dxa" w:w="3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Intent internals, constitution inheritance</w:t>
            </w:r>
          </w:p>
        </w:tc>
        <w:tc>
          <w:tcPr>
            <w:tcW w:type="dxa" w:w="4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Freeze output only.</w:t>
            </w:r>
          </w:p>
        </w:tc>
      </w:tr>
      <w:tr>
        <w:tc>
          <w:tcPr>
            <w:tcW w:type="dxa" w:w="14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O1</w:t>
            </w:r>
          </w:p>
        </w:tc>
        <w:tc>
          <w:tcPr>
            <w:tcW w:type="dxa" w:w="38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Weighted Work Graph from traces</w:t>
            </w:r>
          </w:p>
        </w:tc>
        <w:tc>
          <w:tcPr>
            <w:tcW w:type="dxa" w:w="4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Types in phase 1; weights when traces are real.</w:t>
            </w:r>
          </w:p>
        </w:tc>
      </w:tr>
      <w:tr>
        <w:tc>
          <w:tcPr>
            <w:tcW w:type="dxa" w:w="14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O2</w:t>
            </w:r>
          </w:p>
        </w:tc>
        <w:tc>
          <w:tcPr>
            <w:tcW w:type="dxa" w:w="3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Recovery ≈ 2.5×</w:t>
            </w:r>
          </w:p>
        </w:tc>
        <w:tc>
          <w:tcPr>
            <w:tcW w:type="dxa" w:w="4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Label; replace with measured series.</w:t>
            </w:r>
          </w:p>
        </w:tc>
      </w:tr>
      <w:tr>
        <w:tc>
          <w:tcPr>
            <w:tcW w:type="dxa" w:w="14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G1</w:t>
            </w:r>
          </w:p>
        </w:tc>
        <w:tc>
          <w:tcPr>
            <w:tcW w:type="dxa" w:w="38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Autonomy gated by verification, not capability</w:t>
            </w:r>
          </w:p>
        </w:tc>
        <w:tc>
          <w:tcPr>
            <w:tcW w:type="dxa" w:w="4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Central hypothesis. Product may use it; marketing may not call it proven.</w:t>
            </w:r>
          </w:p>
        </w:tc>
      </w:tr>
      <w:tr>
        <w:tc>
          <w:tcPr>
            <w:tcW w:type="dxa" w:w="14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IRR</w:t>
            </w:r>
          </w:p>
        </w:tc>
        <w:tc>
          <w:tcPr>
            <w:tcW w:type="dxa" w:w="3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Seven-property inter-rater reliability</w:t>
            </w:r>
          </w:p>
        </w:tc>
        <w:tc>
          <w:tcPr>
            <w:tcW w:type="dxa" w:w="4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Untested. Dual-score kappa is caller-supplied until a real dual path exists.</w:t>
            </w:r>
          </w:p>
        </w:tc>
      </w:tr>
      <w:tr>
        <w:tc>
          <w:tcPr>
            <w:tcW w:type="dxa" w:w="14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p*</w:t>
            </w:r>
          </w:p>
        </w:tc>
        <w:tc>
          <w:tcPr>
            <w:tcW w:type="dxa" w:w="38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Confidence-gated escalation</w:t>
            </w:r>
          </w:p>
        </w:tc>
        <w:tc>
          <w:tcPr>
            <w:tcW w:type="dxa" w:w="4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Disarmed until calibration clears the bar.</w:t>
            </w:r>
          </w:p>
        </w:tc>
      </w:tr>
      <w:tr>
        <w:tc>
          <w:tcPr>
            <w:tcW w:type="dxa" w:w="14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New areas</w:t>
            </w:r>
          </w:p>
        </w:tc>
        <w:tc>
          <w:tcPr>
            <w:tcW w:type="dxa" w:w="380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Simulator demand for new work</w:t>
            </w:r>
          </w:p>
        </w:tc>
        <w:tc>
          <w:tcPr>
            <w:tcW w:type="dxa" w:w="4880"/>
            <w:tcBorders>
              <w:top w:val="single" w:color="C5CDD6" w:sz="4"/>
              <w:left w:val="single" w:color="C5CDD6" w:sz="4"/>
              <w:bottom w:val="single" w:color="C5CDD6" w:sz="4"/>
              <w:right w:val="single" w:color="C5CDD6" w:sz="4"/>
            </w:tcBorders>
            <w:shd w:fill="FFFFFF" w:val="clear"/>
            <w:tcMar>
              <w:top w:type="dxa" w:w="70"/>
              <w:left w:type="dxa" w:w="90"/>
              <w:bottom w:type="dxa" w:w="70"/>
              <w:right w:type="dxa" w:w="90"/>
            </w:tcMar>
            <w:vAlign w:val="top"/>
          </w:tcPr>
          <w:p>
            <w:r>
              <w:rPr>
                <w:rFonts w:ascii="Calibri" w:cs="Calibri" w:eastAsia="Calibri" w:hAnsi="Calibri"/>
                <w:color w:val="222222"/>
                <w:sz w:val="18"/>
                <w:szCs w:val="18"/>
              </w:rPr>
              <w:t xml:space="preserve">Always flagged as the weakest estimate.</w:t>
            </w:r>
          </w:p>
        </w:tc>
      </w:tr>
      <w:tr>
        <w:tc>
          <w:tcPr>
            <w:tcW w:type="dxa" w:w="14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Relational</w:t>
            </w:r>
          </w:p>
        </w:tc>
        <w:tc>
          <w:tcPr>
            <w:tcW w:type="dxa" w:w="380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Dense relational work resists executor swap</w:t>
            </w:r>
          </w:p>
        </w:tc>
        <w:tc>
          <w:tcPr>
            <w:tcW w:type="dxa" w:w="4880"/>
            <w:tcBorders>
              <w:top w:val="single" w:color="C5CDD6" w:sz="4"/>
              <w:left w:val="single" w:color="C5CDD6" w:sz="4"/>
              <w:bottom w:val="single" w:color="C5CDD6" w:sz="4"/>
              <w:right w:val="single" w:color="C5CDD6" w:sz="4"/>
            </w:tcBorders>
            <w:shd w:fill="F3F5F7" w:val="clear"/>
            <w:tcMar>
              <w:top w:type="dxa" w:w="70"/>
              <w:left w:type="dxa" w:w="90"/>
              <w:bottom w:type="dxa" w:w="70"/>
              <w:right w:type="dxa" w:w="90"/>
            </w:tcMar>
            <w:vAlign w:val="top"/>
          </w:tcPr>
          <w:p>
            <w:r>
              <w:rPr>
                <w:rFonts w:ascii="Calibri" w:cs="Calibri" w:eastAsia="Calibri" w:hAnsi="Calibri"/>
                <w:color w:val="222222"/>
                <w:sz w:val="18"/>
                <w:szCs w:val="18"/>
              </w:rPr>
              <w:t xml:space="preserve">Do not allocate L5 on relationship-dense units without a human hold.</w:t>
            </w:r>
          </w:p>
        </w:tc>
      </w:tr>
    </w:tbl>
    <w:p>
      <w:pPr>
        <w:spacing w:after="200"/>
      </w:pPr>
    </w:p>
    <w:p>
      <w:pPr>
        <w:spacing w:after="160" w:before="0" w:line="276"/>
      </w:pPr>
      <w:r>
        <w:rPr>
          <w:rFonts w:ascii="Calibri" w:cs="Calibri" w:eastAsia="Calibri" w:hAnsi="Calibri"/>
          <w:color w:val="222222"/>
          <w:sz w:val="22"/>
          <w:szCs w:val="22"/>
        </w:rPr>
        <w:t xml:space="preserve">The twelve V8 research propositions still stand. The platform should log the data they need — failure by VERDICT band, demotion time-to-contain, provenance adoption, cascade gaps — rather than claiming them settled.</w:t>
      </w:r>
    </w:p>
    <w:p>
      <w:pPr>
        <w:pStyle w:val="Heading1"/>
        <w:pBdr>
          <w:bottom w:val="single" w:color="1F6F6A" w:sz="12" w:space="6"/>
        </w:pBdr>
        <w:spacing w:after="160" w:before="360"/>
      </w:pPr>
      <w:r>
        <w:rPr>
          <w:rFonts w:ascii="Calibri" w:cs="Calibri" w:eastAsia="Calibri" w:hAnsi="Calibri"/>
          <w:b/>
          <w:bCs/>
          <w:color w:val="1B2A4A"/>
          <w:sz w:val="32"/>
          <w:szCs w:val="32"/>
        </w:rPr>
        <w:t xml:space="preserve">11. Production-ready checklist</w:t>
      </w:r>
    </w:p>
    <w:p>
      <w:pPr>
        <w:spacing w:after="160" w:before="0" w:line="276"/>
      </w:pPr>
      <w:r>
        <w:rPr>
          <w:rFonts w:ascii="Calibri" w:cs="Calibri" w:eastAsia="Calibri" w:hAnsi="Calibri"/>
          <w:color w:val="222222"/>
          <w:sz w:val="22"/>
          <w:szCs w:val="22"/>
        </w:rPr>
        <w:t xml:space="preserve">The V9 offering is production-ready when all of the following are true.</w:t>
      </w:r>
    </w:p>
    <w:p>
      <w:pPr>
        <w:pStyle w:val="ListParagraph"/>
        <w:numPr>
          <w:ilvl w:val="0"/>
          <w:numId w:val="2"/>
        </w:numPr>
        <w:spacing w:after="80" w:line="276"/>
      </w:pPr>
      <w:r>
        <w:rPr>
          <w:rFonts w:ascii="Calibri" w:cs="Calibri" w:eastAsia="Calibri" w:hAnsi="Calibri"/>
          <w:color w:val="222222"/>
          <w:sz w:val="22"/>
          <w:szCs w:val="22"/>
        </w:rPr>
        <w:t xml:space="preserve">One real tenant, real IdP, no demo-bootstrap on that cluster.</w:t>
      </w:r>
    </w:p>
    <w:p>
      <w:pPr>
        <w:pStyle w:val="ListParagraph"/>
        <w:numPr>
          <w:ilvl w:val="0"/>
          <w:numId w:val="2"/>
        </w:numPr>
        <w:spacing w:after="80" w:line="276"/>
      </w:pPr>
      <w:r>
        <w:rPr>
          <w:rFonts w:ascii="Calibri" w:cs="Calibri" w:eastAsia="Calibri" w:hAnsi="Calibri"/>
          <w:color w:val="222222"/>
          <w:sz w:val="22"/>
          <w:szCs w:val="22"/>
        </w:rPr>
        <w:t xml:space="preserve">RLS HTTP suite green against that database.</w:t>
      </w:r>
    </w:p>
    <w:p>
      <w:pPr>
        <w:pStyle w:val="ListParagraph"/>
        <w:numPr>
          <w:ilvl w:val="0"/>
          <w:numId w:val="2"/>
        </w:numPr>
        <w:spacing w:after="80" w:line="276"/>
      </w:pPr>
      <w:r>
        <w:rPr>
          <w:rFonts w:ascii="Calibri" w:cs="Calibri" w:eastAsia="Calibri" w:hAnsi="Calibri"/>
          <w:color w:val="222222"/>
          <w:sz w:val="22"/>
          <w:szCs w:val="22"/>
        </w:rPr>
        <w:t xml:space="preserve">Intent stub, discovery, cutting and ratification usable by a non-founder.</w:t>
      </w:r>
    </w:p>
    <w:p>
      <w:pPr>
        <w:pStyle w:val="ListParagraph"/>
        <w:numPr>
          <w:ilvl w:val="0"/>
          <w:numId w:val="2"/>
        </w:numPr>
        <w:spacing w:after="80" w:line="276"/>
      </w:pPr>
      <w:r>
        <w:rPr>
          <w:rFonts w:ascii="Calibri" w:cs="Calibri" w:eastAsia="Calibri" w:hAnsi="Calibri"/>
          <w:color w:val="222222"/>
          <w:sz w:val="22"/>
          <w:szCs w:val="22"/>
        </w:rPr>
        <w:t xml:space="preserve">Conformance gap report exportable and provenance-complete.</w:t>
      </w:r>
    </w:p>
    <w:p>
      <w:pPr>
        <w:pStyle w:val="ListParagraph"/>
        <w:numPr>
          <w:ilvl w:val="0"/>
          <w:numId w:val="2"/>
        </w:numPr>
        <w:spacing w:after="80" w:line="276"/>
      </w:pPr>
      <w:r>
        <w:rPr>
          <w:rFonts w:ascii="Calibri" w:cs="Calibri" w:eastAsia="Calibri" w:hAnsi="Calibri"/>
          <w:color w:val="222222"/>
          <w:sz w:val="22"/>
          <w:szCs w:val="22"/>
        </w:rPr>
        <w:t xml:space="preserve">Every ratified unit has a verification spec and a derived S1/S2/S3 strip.</w:t>
      </w:r>
    </w:p>
    <w:p>
      <w:pPr>
        <w:pStyle w:val="ListParagraph"/>
        <w:numPr>
          <w:ilvl w:val="0"/>
          <w:numId w:val="2"/>
        </w:numPr>
        <w:spacing w:after="80" w:line="276"/>
      </w:pPr>
      <w:r>
        <w:rPr>
          <w:rFonts w:ascii="Calibri" w:cs="Calibri" w:eastAsia="Calibri" w:hAnsi="Calibri"/>
          <w:color w:val="222222"/>
          <w:sz w:val="22"/>
          <w:szCs w:val="22"/>
        </w:rPr>
        <w:t xml:space="preserve">Moderations recorded. Gates unliftable.</w:t>
      </w:r>
    </w:p>
    <w:p>
      <w:pPr>
        <w:pStyle w:val="ListParagraph"/>
        <w:numPr>
          <w:ilvl w:val="0"/>
          <w:numId w:val="2"/>
        </w:numPr>
        <w:spacing w:after="80" w:line="276"/>
      </w:pPr>
      <w:r>
        <w:rPr>
          <w:rFonts w:ascii="Calibri" w:cs="Calibri" w:eastAsia="Calibri" w:hAnsi="Calibri"/>
          <w:color w:val="222222"/>
          <w:sz w:val="22"/>
          <w:szCs w:val="22"/>
        </w:rPr>
        <w:t xml:space="preserve">Costed cases include verify, exceptions, governance, residual harm and exposure.</w:t>
      </w:r>
    </w:p>
    <w:p>
      <w:pPr>
        <w:pStyle w:val="ListParagraph"/>
        <w:numPr>
          <w:ilvl w:val="0"/>
          <w:numId w:val="2"/>
        </w:numPr>
        <w:spacing w:after="80" w:line="276"/>
      </w:pPr>
      <w:r>
        <w:rPr>
          <w:rFonts w:ascii="Calibri" w:cs="Calibri" w:eastAsia="Calibri" w:hAnsi="Calibri"/>
          <w:color w:val="222222"/>
          <w:sz w:val="22"/>
          <w:szCs w:val="22"/>
        </w:rPr>
        <w:t xml:space="preserve">Spec bundle 1.0 issued only for machine-readable units.</w:t>
      </w:r>
    </w:p>
    <w:p>
      <w:pPr>
        <w:pStyle w:val="ListParagraph"/>
        <w:numPr>
          <w:ilvl w:val="0"/>
          <w:numId w:val="2"/>
        </w:numPr>
        <w:spacing w:after="80" w:line="276"/>
      </w:pPr>
      <w:r>
        <w:rPr>
          <w:rFonts w:ascii="Calibri" w:cs="Calibri" w:eastAsia="Calibri" w:hAnsi="Calibri"/>
          <w:color w:val="222222"/>
          <w:sz w:val="22"/>
          <w:szCs w:val="22"/>
        </w:rPr>
        <w:t xml:space="preserve">Evidence intake rejects self-certification where the spec forbids it.</w:t>
      </w:r>
    </w:p>
    <w:p>
      <w:pPr>
        <w:pStyle w:val="ListParagraph"/>
        <w:numPr>
          <w:ilvl w:val="0"/>
          <w:numId w:val="2"/>
        </w:numPr>
        <w:spacing w:after="80" w:line="276"/>
      </w:pPr>
      <w:r>
        <w:rPr>
          <w:rFonts w:ascii="Calibri" w:cs="Calibri" w:eastAsia="Calibri" w:hAnsi="Calibri"/>
          <w:color w:val="222222"/>
          <w:sz w:val="22"/>
          <w:szCs w:val="22"/>
        </w:rPr>
        <w:t xml:space="preserve">Audit log can reconstruct who changed a contract field and why.</w:t>
      </w:r>
    </w:p>
    <w:p>
      <w:pPr>
        <w:pStyle w:val="ListParagraph"/>
        <w:numPr>
          <w:ilvl w:val="0"/>
          <w:numId w:val="2"/>
        </w:numPr>
        <w:spacing w:after="80" w:line="276"/>
      </w:pPr>
      <w:r>
        <w:rPr>
          <w:rFonts w:ascii="Calibri" w:cs="Calibri" w:eastAsia="Calibri" w:hAnsi="Calibri"/>
          <w:color w:val="222222"/>
          <w:sz w:val="22"/>
          <w:szCs w:val="22"/>
        </w:rPr>
        <w:t xml:space="preserve">File hashes are server-computed.</w:t>
      </w:r>
    </w:p>
    <w:p>
      <w:pPr>
        <w:pStyle w:val="ListParagraph"/>
        <w:numPr>
          <w:ilvl w:val="0"/>
          <w:numId w:val="2"/>
        </w:numPr>
        <w:spacing w:after="80" w:line="276"/>
      </w:pPr>
      <w:r>
        <w:rPr>
          <w:rFonts w:ascii="Calibri" w:cs="Calibri" w:eastAsia="Calibri" w:hAnsi="Calibri"/>
          <w:color w:val="222222"/>
          <w:sz w:val="22"/>
          <w:szCs w:val="22"/>
        </w:rPr>
        <w:t xml:space="preserve">Consent and purge run on real paths if those paths exist; otherwise do not claim completeness.</w:t>
      </w:r>
    </w:p>
    <w:p>
      <w:pPr>
        <w:pStyle w:val="ListParagraph"/>
        <w:numPr>
          <w:ilvl w:val="0"/>
          <w:numId w:val="2"/>
        </w:numPr>
        <w:spacing w:after="80" w:line="276"/>
      </w:pPr>
      <w:r>
        <w:rPr>
          <w:rFonts w:ascii="Calibri" w:cs="Calibri" w:eastAsia="Calibri" w:hAnsi="Calibri"/>
          <w:color w:val="222222"/>
          <w:sz w:val="22"/>
          <w:szCs w:val="22"/>
        </w:rPr>
        <w:t xml:space="preserve">STATUS.md and HONESTY.md match the running tests.</w:t>
      </w:r>
    </w:p>
    <w:p>
      <w:pPr>
        <w:pStyle w:val="ListParagraph"/>
        <w:numPr>
          <w:ilvl w:val="0"/>
          <w:numId w:val="2"/>
        </w:numPr>
        <w:spacing w:after="80" w:line="276"/>
      </w:pPr>
      <w:r>
        <w:rPr>
          <w:rFonts w:ascii="Calibri" w:cs="Calibri" w:eastAsia="Calibri" w:hAnsi="Calibri"/>
          <w:color w:val="222222"/>
          <w:sz w:val="22"/>
          <w:szCs w:val="22"/>
        </w:rPr>
        <w:t xml:space="preserve">On-call can rotate a spec key and revoke a compromised executor.</w:t>
      </w:r>
    </w:p>
    <w:p>
      <w:pPr>
        <w:pStyle w:val="ListParagraph"/>
        <w:numPr>
          <w:ilvl w:val="0"/>
          <w:numId w:val="2"/>
        </w:numPr>
        <w:spacing w:after="80" w:line="276"/>
      </w:pPr>
      <w:r>
        <w:rPr>
          <w:rFonts w:ascii="Calibri" w:cs="Calibri" w:eastAsia="Calibri" w:hAnsi="Calibri"/>
          <w:color w:val="222222"/>
          <w:sz w:val="22"/>
          <w:szCs w:val="22"/>
        </w:rPr>
        <w:t xml:space="preserve">The engagement can stop at the scenario portfolio without the simulator.</w:t>
      </w:r>
    </w:p>
    <w:p>
      <w:pPr>
        <w:spacing w:after="160" w:before="0" w:line="276"/>
      </w:pPr>
      <w:r>
        <w:rPr>
          <w:rFonts w:ascii="Calibri" w:cs="Calibri" w:eastAsia="Calibri" w:hAnsi="Calibri"/>
          <w:color w:val="222222"/>
          <w:sz w:val="22"/>
          <w:szCs w:val="22"/>
        </w:rPr>
        <w:t xml:space="preserve">If the scenario strip is missing, you have a census tool. If the Spec token is missing, you have documentation. If evidence can self-certify, autonomy is unearned. If STATUS outruns the tests, you have V8’s original failure mode.</w:t>
      </w:r>
    </w:p>
    <w:p>
      <w:pPr>
        <w:pStyle w:val="Heading1"/>
        <w:pBdr>
          <w:bottom w:val="single" w:color="1F6F6A" w:sz="12" w:space="6"/>
        </w:pBdr>
        <w:spacing w:after="160" w:before="360"/>
      </w:pPr>
      <w:r>
        <w:rPr>
          <w:rFonts w:ascii="Calibri" w:cs="Calibri" w:eastAsia="Calibri" w:hAnsi="Calibri"/>
          <w:b/>
          <w:bCs/>
          <w:color w:val="1B2A4A"/>
          <w:sz w:val="32"/>
          <w:szCs w:val="32"/>
        </w:rPr>
        <w:t xml:space="preserve">12. First engagement path</w:t>
      </w:r>
    </w:p>
    <w:p>
      <w:pPr>
        <w:spacing w:after="160" w:before="0" w:line="276"/>
      </w:pPr>
      <w:r>
        <w:rPr>
          <w:rFonts w:ascii="Calibri" w:cs="Calibri" w:eastAsia="Calibri" w:hAnsi="Calibri"/>
          <w:color w:val="222222"/>
          <w:sz w:val="22"/>
          <w:szCs w:val="22"/>
        </w:rPr>
        <w:t xml:space="preserve">Day 0 — Tenant provisioned. Function Pack v0 loaded. Intent authored by the owner or drafted in the founder-track session.</w:t>
      </w:r>
    </w:p>
    <w:p>
      <w:pPr>
        <w:spacing w:after="160" w:before="0" w:line="276"/>
      </w:pPr>
      <w:r>
        <w:rPr>
          <w:rFonts w:ascii="Calibri" w:cs="Calibri" w:eastAsia="Calibri" w:hAnsi="Calibri"/>
          <w:color w:val="222222"/>
          <w:sz w:val="22"/>
          <w:szCs w:val="22"/>
        </w:rPr>
        <w:t xml:space="preserve">Days 1–15 — Scout: founder, function leader, SME, files, traces. Declared and observed candidates. Coverage map and founder-versus-SME rows show in Scout. Judgment zones stay visible even at 100 percent Genome Strength.</w:t>
      </w:r>
    </w:p>
    <w:p>
      <w:pPr>
        <w:spacing w:after="160" w:before="0" w:line="276"/>
      </w:pPr>
      <w:r>
        <w:rPr>
          <w:rFonts w:ascii="Calibri" w:cs="Calibri" w:eastAsia="Calibri" w:hAnsi="Calibri"/>
          <w:color w:val="222222"/>
          <w:sz w:val="22"/>
          <w:szCs w:val="22"/>
        </w:rPr>
        <w:t xml:space="preserve">Days 16–45 — Cutting, lints, F1 split, ratification by named owners. Scout-only units that failed persist stay drafts until document- or trace-backed. Undocumented work is the meeting.</w:t>
      </w:r>
    </w:p>
    <w:p>
      <w:pPr>
        <w:spacing w:after="160" w:before="0" w:line="276"/>
      </w:pPr>
      <w:r>
        <w:rPr>
          <w:rFonts w:ascii="Calibri" w:cs="Calibri" w:eastAsia="Calibri" w:hAnsi="Calibri"/>
          <w:color w:val="222222"/>
          <w:sz w:val="22"/>
          <w:szCs w:val="22"/>
        </w:rPr>
        <w:t xml:space="preserve">Days 46–70 — Verification specs. VERDICT scenarios. A CFO moderates two units for audit season; the log shows it. Economics moves the first flattering number down.</w:t>
      </w:r>
    </w:p>
    <w:p>
      <w:pPr>
        <w:spacing w:after="160" w:before="0" w:line="276"/>
      </w:pPr>
      <w:r>
        <w:rPr>
          <w:rFonts w:ascii="Calibri" w:cs="Calibri" w:eastAsia="Calibri" w:hAnsi="Calibri"/>
          <w:color w:val="222222"/>
          <w:sz w:val="22"/>
          <w:szCs w:val="22"/>
        </w:rPr>
        <w:t xml:space="preserve">Day 90 — Scenario portfolio delivered. No agents required to have been valuable. Simulator scoped only if they want to budget the next year on the same record.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6F6A" w:sz="4"/>
              <w:left w:val="single" w:color="1F6F6A" w:sz="24"/>
              <w:bottom w:val="single" w:color="1F6F6A" w:sz="4"/>
              <w:right w:val="single" w:color="1F6F6A" w:sz="4"/>
            </w:tcBorders>
            <w:shd w:fill="E6F0EF" w:val="clear"/>
            <w:tcMar>
              <w:top w:type="dxa" w:w="120"/>
              <w:left w:type="dxa" w:w="160"/>
              <w:bottom w:type="dxa" w:w="120"/>
              <w:right w:type="dxa" w:w="160"/>
            </w:tcMar>
          </w:tcPr>
          <w:p>
            <w:pPr>
              <w:spacing w:after="60"/>
            </w:pPr>
            <w:r>
              <w:rPr>
                <w:rFonts w:ascii="Calibri" w:cs="Calibri" w:eastAsia="Calibri" w:hAnsi="Calibri"/>
                <w:b/>
                <w:bCs/>
                <w:color w:val="1F6F6A"/>
                <w:sz w:val="20"/>
                <w:szCs w:val="20"/>
              </w:rPr>
              <w:t xml:space="preserve">THAT IS THE PRODUCT</w:t>
            </w:r>
          </w:p>
          <w:p>
            <w:r>
              <w:rPr>
                <w:rFonts w:ascii="Calibri" w:cs="Calibri" w:eastAsia="Calibri" w:hAnsi="Calibri"/>
                <w:color w:val="222222"/>
                <w:sz w:val="20"/>
                <w:szCs w:val="20"/>
              </w:rPr>
              <w:t xml:space="preserve">Everything else is a component you can replace. Implement the joints first. Replace the boxes later.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8"/>
      </w:pBdr>
      <w:jc w:val="right"/>
    </w:pPr>
    <w:r>
      <w:rPr>
        <w:rFonts w:ascii="Calibri" w:cs="Calibri" w:eastAsia="Calibri" w:hAnsi="Calibri"/>
        <w:i/>
        <w:iCs/>
        <w:color w:val="5B6570"/>
        <w:sz w:val="16"/>
        <w:szCs w:val="16"/>
      </w:rPr>
      <w:t xml:space="preserve">A box is replaceable · a contract is not     </w:t>
    </w:r>
    <w:r>
      <w:rPr>
        <w:rFonts w:ascii="Calibri" w:cs="Calibri" w:eastAsia="Calibri" w:hAnsi="Calibri"/>
        <w:color w:val="5B6570"/>
        <w:sz w:val="16"/>
        <w:szCs w:val="16"/>
      </w:rPr>
      <w:t xml:space="preserve">Page </w:t>
    </w:r>
    <w:r>
      <w:rPr>
        <w:rFonts w:ascii="Calibri" w:cs="Calibri" w:eastAsia="Calibri" w:hAnsi="Calibri"/>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6A" w:sz="8" w:space="6"/>
      </w:pBdr>
      <w:spacing w:after="120"/>
    </w:pPr>
    <w:r>
      <w:rPr>
        <w:rFonts w:ascii="Calibri" w:cs="Calibri" w:eastAsia="Calibri" w:hAnsi="Calibri"/>
        <w:b/>
        <w:bCs/>
        <w:color w:val="1B2A4A"/>
        <w:sz w:val="16"/>
        <w:szCs w:val="16"/>
      </w:rPr>
      <w:t xml:space="preserve">WORK ENGINEERING PLATFORM  ·  V9</w:t>
    </w:r>
    <w:r>
      <w:rPr>
        <w:rFonts w:ascii="Calibri" w:cs="Calibri" w:eastAsia="Calibri" w:hAnsi="Calibri"/>
        <w:color w:val="5B6570"/>
        <w:sz w:val="16"/>
        <w:szCs w:val="16"/>
      </w:rPr>
      <w:t xml:space="preserve">     Product Engineering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6F6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2026-09-01T09:33:44.218Z</dcterms:created>
  <dcterms:modified xsi:type="dcterms:W3CDTF">2026-09-01T09:33:44.218Z</dcterms:modified>
</cp:coreProperties>
</file>

<file path=docProps/custom.xml><?xml version="1.0" encoding="utf-8"?>
<Properties xmlns="http://schemas.openxmlformats.org/officeDocument/2006/custom-properties" xmlns:vt="http://schemas.openxmlformats.org/officeDocument/2006/docPropsVTypes"/>
</file>