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Conversion Baseline and Data Architecture: One-Page Summary</w:t>
      </w:r>
    </w:p>
    <w:p>
      <w:pPr/>
      <w:r>
        <w:t xml:space="preserve">Oct 2, 2026</w:t>
      </w:r>
      <w:r>
        <w:t xml:space="preserve"> · </w:t>
      </w:r>
      <w:r>
        <w:t xml:space="preserve">@Sanookiezz</w:t>
      </w:r>
    </w:p>
    <w:p>
      <w:pPr>
        <w:pStyle w:val="Heading2"/>
      </w:pPr>
      <w:r>
        <w:t xml:space="preserve">Purpose</w:t>
      </w:r>
    </w:p>
    <w:p>
      <w:pPr/>
      <w:r>
        <w:t xml:space="preserve">Sarah wants a course-by-course conversion baseline in Excel, so each course knows how many applications and offers it needs to fill its places. It supports the College Transformation Framework (CTF) for two reasons: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Credits:</w:t>
      </w:r>
      <w:r>
        <w:t xml:space="preserve"> the college must deliver 79,000 credits, about 45,000 from full-time courses, and loses about 10% through under-enrolment.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Workload:</w:t>
      </w:r>
      <w:r>
        <w:t xml:space="preserve"> recruitment is very manual, with student admin constantly opening and closing applications and sending waiting-list offers.</w:t>
      </w:r>
    </w:p>
    <w:p>
      <w:pPr/>
      <w:r>
        <w:t xml:space="preserve">The data architecture map you assigned is the foundation: it shows where every conversion number comes from and where it can go wrong.</w:t>
      </w:r>
    </w:p>
    <w:p>
      <w:pPr>
        <w:pStyle w:val="Heading2"/>
      </w:pPr>
      <w:r>
        <w:t xml:space="preserve">Key idea</w:t>
      </w:r>
    </w:p>
    <w:p>
      <w:pPr/>
      <w:r>
        <w:t xml:space="preserve">Replace the single 200% applications / 120% offers rule with targets based on each course's own conversion over the last 3 years. Today a 20-place course aims for 40 applications and 24 offers, yet sometimes only 12 of those 24 people turn up.</w:t>
      </w:r>
    </w:p>
    <w:p>
      <w:pPr/>
      <w:r>
        <w:drawing>
          <wp:inline distT="0" distB="0" distL="0" distR="0">
            <wp:extent cx="5486400" cy="2449285"/>
            <wp:docPr id="1" name="image1" descr="recruitment data path · from the data architecture ma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cruitment data path · from the data architecture ma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recruitment data path · from the data architecture map</w:t>
      </w:r>
    </w:p>
    <w:p>
      <w:pPr/>
      <w:r>
        <w:t xml:space="preserve">The data map shows the path every conversion number takes. The amber points are where counts can be lost or changed.</w:t>
      </w:r>
    </w:p>
    <w:p>
      <w:pPr>
        <w:pStyle w:val="Heading2"/>
      </w:pPr>
      <w:r>
        <w:t xml:space="preserve">Key issues</w:t>
      </w:r>
    </w:p>
    <w:p>
      <w:pPr/>
      <w:r>
        <w:t xml:space="preserve">The numbers we have today overstate conversion, and the systems cannot yet give a clean 3-year history.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we found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Proposed fix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Power BI rate matches nothing we can calculate</w:t>
            </w:r>
          </w:p>
        </w:tc>
        <w:tc>
          <w:tcPr>
            <w:tcW w:w="3120" w:type="dxa"/>
          </w:tcPr>
          <w:p>
            <w:pPr/>
            <w:r>
              <w:t xml:space="preserve">YCCJ/AL: 36 offers ÷ 116 applications = 31.0%, ÷ 66 live = 54.5%, but RA5 shows 37.9%</w:t>
            </w:r>
          </w:p>
        </w:tc>
        <w:tc>
          <w:tcPr>
            <w:tcW w:w="3120" w:type="dxa"/>
          </w:tcPr>
          <w:p>
            <w:pPr/>
            <w:r>
              <w:t xml:space="preserve">Lesley to confirm which application count the measure uses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Only this year is visible</w:t>
            </w:r>
          </w:p>
        </w:tc>
        <w:tc>
          <w:tcPr>
            <w:tcW w:w="3120" w:type="dxa"/>
          </w:tcPr>
          <w:p>
            <w:pPr/>
            <w:r>
              <w:t xml:space="preserve">RA5 shows only the 2026 session, still in progress</w:t>
            </w:r>
          </w:p>
        </w:tc>
        <w:tc>
          <w:tcPr>
            <w:tcW w:w="3120" w:type="dxa"/>
          </w:tcPr>
          <w:p>
            <w:pPr/>
            <w:r>
              <w:t xml:space="preserve">Ask Lesley for final data for 2023/24 to 2025/26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status history</w:t>
            </w:r>
          </w:p>
        </w:tc>
        <w:tc>
          <w:tcPr>
            <w:tcW w:w="3120" w:type="dxa"/>
          </w:tcPr>
          <w:p>
            <w:pPr/>
            <w:r>
              <w:t xml:space="preserve">Enquirer keeps only each application's current status, so past offer counts cannot be rebuilt</w:t>
            </w:r>
          </w:p>
        </w:tc>
        <w:tc>
          <w:tcPr>
            <w:tcW w:w="3120" w:type="dxa"/>
          </w:tcPr>
          <w:p>
            <w:pPr/>
            <w:r>
              <w:t xml:space="preserve">Use final status for past years; start weekly snapshots 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Manual steps on the recruitment path</w:t>
            </w:r>
          </w:p>
        </w:tc>
        <w:tc>
          <w:tcPr>
            <w:tcW w:w="3120" w:type="dxa"/>
          </w:tcPr>
          <w:p>
            <w:pPr/>
            <w:r>
              <w:t xml:space="preserve">Applications move from Enquirer into UnitE by hand; 23 of 98 system connections are manual</w:t>
            </w:r>
          </w:p>
        </w:tc>
        <w:tc>
          <w:tcPr>
            <w:tcW w:w="3120" w:type="dxa"/>
          </w:tcPr>
          <w:p>
            <w:pPr/>
            <w:r>
              <w:t xml:space="preserve">Flag these in the data map; look at automating later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Source of RA5 not visible</w:t>
            </w:r>
          </w:p>
        </w:tc>
        <w:tc>
          <w:tcPr>
            <w:tcW w:w="3120" w:type="dxa"/>
          </w:tcPr>
          <w:p>
            <w:pPr/>
            <w:r>
              <w:t xml:space="preserve">Lineage shows semantic model → report, but not the database behind it</w:t>
            </w:r>
          </w:p>
        </w:tc>
        <w:tc>
          <w:tcPr>
            <w:tcW w:w="3120" w:type="dxa"/>
          </w:tcPr>
          <w:p>
            <w:pPr/>
            <w:r>
              <w:t xml:space="preserve">Kevin to confirm which tables feed the model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Offers and day-one enrolment inflate the picture</w:t>
            </w:r>
          </w:p>
        </w:tc>
        <w:tc>
          <w:tcPr>
            <w:tcW w:w="3120" w:type="dxa"/>
          </w:tcPr>
          <w:p>
            <w:pPr/>
            <w:r>
              <w:t xml:space="preserve">Waiting-list offers (36 offers for 14 places on YCCJ/AL); credits are claimed at about 6 weeks</w:t>
            </w:r>
          </w:p>
        </w:tc>
        <w:tc>
          <w:tcPr>
            <w:tcW w:w="3120" w:type="dxa"/>
          </w:tcPr>
          <w:p>
            <w:pPr/>
            <w:r>
              <w:t xml:space="preserve">Use live applications and enrolment at the 6-week claim point</w:t>
            </w:r>
          </w:p>
        </w:tc>
      </w:tr>
    </w:tbl>
    <w:p>
      <w:pPr>
        <w:pStyle w:val="Heading2"/>
      </w:pPr>
      <w:r>
        <w:t xml:space="preserve">Progress and next steps</w:t>
      </w:r>
    </w:p>
    <w:p>
      <w:pPr/>
      <w:r>
        <w:rPr>
          <w:b/>
        </w:rPr>
        <w:t xml:space="preserve">Done:</w:t>
      </w:r>
      <w:r>
        <w:t xml:space="preserve"> meeting summary and plan; student system data map (209 systems, 98 connections), aligned with Kevin; plan and data request sent to Lyndsay; RA5 exploration started.</w:t>
      </w:r>
    </w:p>
    <w:p>
      <w:pPr/>
      <w:r>
        <w:rPr>
          <w:b/>
        </w:rPr>
        <w:t xml:space="preserve">Next:</w:t>
      </w:r>
      <w:r>
        <w:t xml:space="preserve"> build a construction pilot (3 years, live applications, course targets compared with the 200% / 120% rule), review first findings with Lyndsay and you after the October break, then deliver the full baseline before Christmas.</w:t>
      </w:r>
    </w:p>
    <w:p>
      <w:pPr/>
      <w:r>
        <w:rPr>
          <w:b/>
        </w:rPr>
        <w:t xml:space="preserve">Waiting on: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Lesley:</w:t>
      </w:r>
      <w:r>
        <w:t xml:space="preserve"> the conversion measure, past-year data, and which enrolment statuses count for credits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Lyndsay:</w:t>
      </w:r>
      <w:r>
        <w:t xml:space="preserve"> target enrolments and capacities per course, the credits report, how the waiting list works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Kevin:</w:t>
      </w:r>
      <w:r>
        <w:t xml:space="preserve"> which database tables feed the RA5 semantic model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Conversion Baseline and Data Architecture One-Page Summary</dc:title>
  <dc:description>Claude Docs node/84d43f12-0d08@5 docx-w6</dc:description>
  <cp:revision>5</cp:revision>
</cp:coreProperties>
</file>