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A4" w:rsidRPr="00215AA4" w:rsidRDefault="00215AA4" w:rsidP="00215AA4">
      <w:pPr>
        <w:keepNext/>
        <w:framePr w:dropCap="drop" w:lines="2" w:hSpace="284" w:wrap="around" w:vAnchor="text" w:hAnchor="text"/>
        <w:spacing w:line="920" w:lineRule="exact"/>
        <w:ind w:firstLine="420"/>
        <w:textAlignment w:val="baseline"/>
        <w:rPr>
          <w:rFonts w:ascii="隶书" w:eastAsia="隶书" w:hAnsi="楷体"/>
          <w:noProof/>
          <w:position w:val="-9"/>
          <w:sz w:val="99"/>
        </w:rPr>
      </w:pPr>
      <w:r w:rsidRPr="00215AA4">
        <w:rPr>
          <w:rFonts w:ascii="隶书" w:eastAsia="隶书" w:hAnsi="楷体" w:hint="eastAsia"/>
          <w:color w:val="FFC000"/>
          <w:position w:val="-9"/>
          <w:sz w:val="99"/>
          <w:szCs w:val="28"/>
          <w14:shadow w14:blurRad="50800" w14:dist="38100" w14:dir="2700000" w14:sx="100000" w14:sy="100000" w14:kx="0" w14:ky="0" w14:algn="tl">
            <w14:srgbClr w14:val="000000">
              <w14:alpha w14:val="60000"/>
            </w14:srgbClr>
          </w14:shadow>
        </w:rPr>
        <w:t>近</w:t>
      </w:r>
    </w:p>
    <w:p w:rsidR="00290B72" w:rsidRPr="0092381E" w:rsidRDefault="00215AA4" w:rsidP="00215AA4">
      <w:pPr>
        <w:spacing w:line="460" w:lineRule="exact"/>
        <w:rPr>
          <w:rFonts w:ascii="楷体" w:eastAsia="楷体" w:hAnsi="楷体"/>
          <w:color w:val="002060"/>
          <w:sz w:val="28"/>
          <w:szCs w:val="28"/>
        </w:rPr>
      </w:pPr>
      <w:r>
        <w:rPr>
          <w:noProof/>
        </w:rPr>
        <mc:AlternateContent>
          <mc:Choice Requires="wps">
            <w:drawing>
              <wp:anchor distT="0" distB="0" distL="114300" distR="114300" simplePos="0" relativeHeight="251659264" behindDoc="0" locked="0" layoutInCell="1" allowOverlap="1" wp14:anchorId="287B6391" wp14:editId="20A77BDB">
                <wp:simplePos x="0" y="0"/>
                <wp:positionH relativeFrom="margin">
                  <wp:posOffset>545465</wp:posOffset>
                </wp:positionH>
                <wp:positionV relativeFrom="paragraph">
                  <wp:posOffset>903577</wp:posOffset>
                </wp:positionV>
                <wp:extent cx="6727825" cy="544830"/>
                <wp:effectExtent l="0" t="0" r="0" b="7620"/>
                <wp:wrapTopAndBottom/>
                <wp:docPr id="1" name="文本框 1"/>
                <wp:cNvGraphicFramePr/>
                <a:graphic xmlns:a="http://schemas.openxmlformats.org/drawingml/2006/main">
                  <a:graphicData uri="http://schemas.microsoft.com/office/word/2010/wordprocessingShape">
                    <wps:wsp>
                      <wps:cNvSpPr txBox="1"/>
                      <wps:spPr>
                        <a:xfrm>
                          <a:off x="0" y="0"/>
                          <a:ext cx="6727825" cy="544830"/>
                        </a:xfrm>
                        <a:prstGeom prst="rect">
                          <a:avLst/>
                        </a:prstGeom>
                        <a:noFill/>
                        <a:ln w="3175">
                          <a:noFill/>
                        </a:ln>
                      </wps:spPr>
                      <wps:txbx>
                        <w:txbxContent>
                          <w:p w:rsidR="00644DBC" w:rsidRPr="000F4D8D" w:rsidRDefault="00644DBC" w:rsidP="00644DBC">
                            <w:pPr>
                              <w:jc w:val="left"/>
                              <w:rPr>
                                <w:sz w:val="72"/>
                                <w:szCs w:val="72"/>
                              </w:rPr>
                            </w:pPr>
                            <w:r w:rsidRPr="000F4D8D">
                              <w:rPr>
                                <w:rFonts w:ascii="隶书" w:eastAsia="隶书" w:hAnsi="楷体" w:hint="eastAsi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污水发电技术有望走出实验室</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gd name="adj1" fmla="val 6250"/>
                            <a:gd name="adj2" fmla="val 205"/>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B6391" id="_x0000_t202" coordsize="21600,21600" o:spt="202" path="m,l,21600r21600,l21600,xe">
                <v:stroke joinstyle="miter"/>
                <v:path gradientshapeok="t" o:connecttype="rect"/>
              </v:shapetype>
              <v:shape id="文本框 1" o:spid="_x0000_s1026" type="#_x0000_t202" style="position:absolute;left:0;text-align:left;margin-left:42.95pt;margin-top:71.15pt;width:529.75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" filled="f" stroked="f" strokeweight=".25pt">
                <v:fill o:detectmouseclick="t"/>
                <v:textbox>
                  <w:txbxContent>
                    <w:p w:rsidR="00644DBC" w:rsidRPr="000F4D8D" w:rsidRDefault="00644DBC" w:rsidP="00644DBC">
                      <w:pPr>
                        <w:jc w:val="left"/>
                        <w:rPr>
                          <w:sz w:val="72"/>
                          <w:szCs w:val="72"/>
                        </w:rPr>
                      </w:pPr>
                      <w:r w:rsidRPr="000F4D8D">
                        <w:rPr>
                          <w:rFonts w:ascii="隶书" w:eastAsia="隶书" w:hAnsi="楷体" w:hint="eastAsi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污水发电技术有望走出实验室</w:t>
                      </w:r>
                    </w:p>
                  </w:txbxContent>
                </v:textbox>
                <w10:wrap type="topAndBottom" anchorx="margin"/>
              </v:shape>
            </w:pict>
          </mc:Fallback>
        </mc:AlternateContent>
      </w:r>
      <w:r w:rsidR="00290B72" w:rsidRPr="0092381E">
        <w:rPr>
          <w:rFonts w:ascii="楷体" w:eastAsia="楷体" w:hAnsi="楷体" w:hint="eastAsia"/>
          <w:color w:val="002060"/>
          <w:sz w:val="28"/>
          <w:szCs w:val="28"/>
        </w:rPr>
        <w:t>日，美国俄勒冈州立大学的工程师们在改善微生物燃料电池性能方面取得突破。他们研制出</w:t>
      </w:r>
      <w:r w:rsidR="00290B72" w:rsidRPr="0092381E">
        <w:rPr>
          <w:rFonts w:ascii="楷体" w:eastAsia="楷体" w:hAnsi="楷体"/>
          <w:color w:val="002060"/>
          <w:sz w:val="28"/>
          <w:szCs w:val="28"/>
        </w:rPr>
        <w:t>-种可以直接利用污水来发电的新型微生物燃料电池,这或许会使今后的污水处理厂在用电方面不但可自给自足，甚至还能够向外供电。</w:t>
      </w:r>
    </w:p>
    <w:p w:rsidR="00290B72" w:rsidRDefault="00290B72" w:rsidP="0092381E">
      <w:pPr>
        <w:spacing w:afterLines="50" w:after="156" w:line="460" w:lineRule="exact"/>
        <w:ind w:firstLineChars="200" w:firstLine="560"/>
        <w:rPr>
          <w:rFonts w:ascii="楷体" w:eastAsia="楷体" w:hAnsi="楷体"/>
          <w:color w:val="002060"/>
          <w:sz w:val="28"/>
          <w:szCs w:val="28"/>
        </w:rPr>
      </w:pPr>
      <w:r w:rsidRPr="0092381E">
        <w:rPr>
          <w:rFonts w:ascii="楷体" w:eastAsia="楷体" w:hAnsi="楷体" w:hint="eastAsia"/>
          <w:color w:val="002060"/>
          <w:sz w:val="28"/>
          <w:szCs w:val="28"/>
        </w:rPr>
        <w:t>相比传统微生物燃料电池，这种新型电池的效率可高出</w:t>
      </w:r>
      <w:r w:rsidRPr="0092381E">
        <w:rPr>
          <w:rFonts w:ascii="楷体" w:eastAsia="楷体" w:hAnsi="楷体"/>
          <w:color w:val="002060"/>
          <w:sz w:val="28"/>
          <w:szCs w:val="28"/>
        </w:rPr>
        <w:t>10~100倍。研究者表示，这项既可以处理污水又可以发电的技术将改变全球污水处理业,替代目前已经使用了近一个世纪的活性污泥处理法。</w:t>
      </w:r>
    </w:p>
    <w:p w:rsidR="0092381E" w:rsidRDefault="0092381E" w:rsidP="0092381E">
      <w:pPr>
        <w:spacing w:line="460" w:lineRule="exact"/>
        <w:ind w:firstLineChars="200" w:firstLine="560"/>
        <w:rPr>
          <w:rFonts w:ascii="楷体" w:eastAsia="楷体" w:hAnsi="楷体"/>
          <w:color w:val="002060"/>
          <w:sz w:val="28"/>
          <w:szCs w:val="28"/>
        </w:rPr>
        <w:sectPr w:rsidR="0092381E" w:rsidSect="0092381E">
          <w:headerReference w:type="default" r:id="rId7"/>
          <w:footerReference w:type="default" r:id="rId8"/>
          <w:pgSz w:w="14572" w:h="10319" w:orient="landscape" w:code="13"/>
          <w:pgMar w:top="1134" w:right="1247" w:bottom="1134" w:left="1247" w:header="680" w:footer="567" w:gutter="0"/>
          <w:cols w:space="425"/>
          <w:docGrid w:type="lines" w:linePitch="312"/>
        </w:sectPr>
      </w:pPr>
    </w:p>
    <w:p w:rsidR="0092381E" w:rsidRPr="0092381E" w:rsidRDefault="0092381E" w:rsidP="0092381E">
      <w:pPr>
        <w:spacing w:line="460" w:lineRule="exact"/>
        <w:ind w:firstLineChars="200" w:firstLine="560"/>
        <w:rPr>
          <w:rFonts w:ascii="楷体" w:eastAsia="楷体" w:hAnsi="楷体"/>
          <w:color w:val="002060"/>
          <w:sz w:val="28"/>
          <w:szCs w:val="28"/>
        </w:rPr>
      </w:pPr>
      <w:r w:rsidRPr="0092381E">
        <w:rPr>
          <w:rFonts w:ascii="楷体" w:eastAsia="楷体" w:hAnsi="楷体"/>
          <w:color w:val="002060"/>
          <w:sz w:val="28"/>
          <w:szCs w:val="28"/>
        </w:rPr>
        <w:lastRenderedPageBreak/>
        <w:t>如果这项技术能够商业化，污水处理厂将从耗电大户变成发电大户。据专家估计，在欧美等发达</w:t>
      </w:r>
      <w:r w:rsidRPr="0092381E">
        <w:rPr>
          <w:rFonts w:ascii="楷体" w:eastAsia="楷体" w:hAnsi="楷体"/>
          <w:color w:val="002060"/>
          <w:sz w:val="28"/>
          <w:szCs w:val="28"/>
        </w:rPr>
        <w:lastRenderedPageBreak/>
        <w:t>国家，每年有约3%的电力用于污水处理，这不但消耗了大量化石燃料，还导致了温室气体大量排放。</w:t>
      </w:r>
      <w:r w:rsidRPr="0092381E">
        <w:rPr>
          <w:rFonts w:ascii="楷体" w:eastAsia="楷体" w:hAnsi="楷体"/>
          <w:color w:val="002060"/>
          <w:sz w:val="28"/>
          <w:szCs w:val="28"/>
        </w:rPr>
        <w:lastRenderedPageBreak/>
        <w:t>这项新技术理论上将提供数倍于目前污水处理厂所消耗的电能，且不排放任何温室气体。</w:t>
      </w:r>
    </w:p>
    <w:p w:rsidR="0092381E" w:rsidRDefault="0092381E" w:rsidP="0092381E">
      <w:pPr>
        <w:spacing w:beforeLines="50" w:before="156" w:line="460" w:lineRule="exact"/>
        <w:ind w:firstLineChars="200" w:firstLine="560"/>
        <w:rPr>
          <w:rFonts w:ascii="楷体" w:eastAsia="楷体" w:hAnsi="楷体"/>
          <w:color w:val="002060"/>
          <w:sz w:val="28"/>
          <w:szCs w:val="28"/>
        </w:rPr>
        <w:sectPr w:rsidR="0092381E" w:rsidSect="0092381E">
          <w:type w:val="continuous"/>
          <w:pgSz w:w="14572" w:h="10319" w:orient="landscape" w:code="13"/>
          <w:pgMar w:top="1134" w:right="1247" w:bottom="1134" w:left="1247" w:header="680" w:footer="567" w:gutter="0"/>
          <w:cols w:num="3" w:sep="1" w:space="1314"/>
          <w:docGrid w:type="lines" w:linePitch="312"/>
        </w:sectPr>
      </w:pPr>
    </w:p>
    <w:p w:rsidR="0092381E" w:rsidRPr="0092381E" w:rsidRDefault="0092381E" w:rsidP="00887CC6">
      <w:pPr>
        <w:spacing w:beforeLines="50" w:before="156" w:line="460" w:lineRule="exact"/>
        <w:ind w:firstLineChars="200" w:firstLine="560"/>
        <w:rPr>
          <w:rFonts w:ascii="楷体" w:eastAsia="楷体" w:hAnsi="楷体" w:hint="eastAsia"/>
          <w:color w:val="002060"/>
          <w:sz w:val="28"/>
          <w:szCs w:val="28"/>
        </w:rPr>
      </w:pPr>
      <w:r w:rsidRPr="0092381E">
        <w:rPr>
          <w:rFonts w:ascii="楷体" w:eastAsia="楷体" w:hAnsi="楷体"/>
          <w:color w:val="002060"/>
          <w:sz w:val="28"/>
          <w:szCs w:val="28"/>
        </w:rPr>
        <w:lastRenderedPageBreak/>
        <w:t>据研究人员介绍，未来的研究将集中在寻找发电效率更高的微生物、减少相关材料成本等方面。一旦上述研究完成，预计使用新技术的成本将会与传统污水处理厂的处理成本相差无几，而如果将其今后发电所带来的效益计算在内，采用新技术甚至成本更低。</w:t>
      </w:r>
    </w:p>
    <w:p w:rsidR="00696C45" w:rsidRDefault="00290B72" w:rsidP="000F4D8D">
      <w:pPr>
        <w:spacing w:line="460" w:lineRule="exact"/>
        <w:ind w:firstLineChars="200" w:firstLine="420"/>
        <w:jc w:val="right"/>
        <w:rPr>
          <w:rFonts w:ascii="黑体" w:eastAsia="黑体" w:hAnsi="黑体"/>
          <w:color w:val="002060"/>
          <w:szCs w:val="21"/>
        </w:rPr>
        <w:sectPr w:rsidR="00696C45" w:rsidSect="0092381E">
          <w:type w:val="continuous"/>
          <w:pgSz w:w="14572" w:h="10319" w:orient="landscape" w:code="13"/>
          <w:pgMar w:top="1134" w:right="1247" w:bottom="1134" w:left="1247" w:header="680" w:footer="567" w:gutter="0"/>
          <w:cols w:space="425"/>
          <w:docGrid w:type="lines" w:linePitch="312"/>
        </w:sectPr>
      </w:pPr>
      <w:bookmarkStart w:id="0" w:name="_GoBack"/>
      <w:bookmarkEnd w:id="0"/>
      <w:r w:rsidRPr="000F4D8D">
        <w:rPr>
          <w:rFonts w:ascii="黑体" w:eastAsia="黑体" w:hAnsi="黑体"/>
          <w:color w:val="002060"/>
          <w:szCs w:val="21"/>
        </w:rPr>
        <w:t>--信息来源: 《亮报》</w:t>
      </w:r>
    </w:p>
    <w:tbl>
      <w:tblPr>
        <w:tblStyle w:val="a7"/>
        <w:tblW w:w="0" w:type="auto"/>
        <w:jc w:val="center"/>
        <w:tblBorders>
          <w:top w:val="single" w:sz="12" w:space="0" w:color="0070C0"/>
          <w:left w:val="single" w:sz="12" w:space="0" w:color="0070C0"/>
          <w:bottom w:val="single" w:sz="12" w:space="0" w:color="0070C0"/>
          <w:right w:val="single" w:sz="12" w:space="0" w:color="0070C0"/>
          <w:insideH w:val="single" w:sz="6" w:space="0" w:color="0070C0"/>
          <w:insideV w:val="single" w:sz="6" w:space="0" w:color="0070C0"/>
        </w:tblBorders>
        <w:tblLook w:val="04A0" w:firstRow="1" w:lastRow="0" w:firstColumn="1" w:lastColumn="0" w:noHBand="0" w:noVBand="1"/>
      </w:tblPr>
      <w:tblGrid>
        <w:gridCol w:w="1587"/>
        <w:gridCol w:w="1587"/>
        <w:gridCol w:w="1587"/>
        <w:gridCol w:w="1587"/>
        <w:gridCol w:w="1587"/>
      </w:tblGrid>
      <w:tr w:rsidR="00696C45" w:rsidRPr="00696C45" w:rsidTr="00696C45">
        <w:trPr>
          <w:jc w:val="center"/>
        </w:trPr>
        <w:tc>
          <w:tcPr>
            <w:tcW w:w="1587" w:type="dxa"/>
          </w:tcPr>
          <w:p w:rsidR="00696C45" w:rsidRPr="00696C45" w:rsidRDefault="00696C45" w:rsidP="00696C45">
            <w:pPr>
              <w:widowControl/>
              <w:spacing w:before="100" w:beforeAutospacing="1" w:after="100" w:afterAutospacing="1"/>
              <w:jc w:val="center"/>
              <w:rPr>
                <w:rFonts w:ascii="宋体" w:eastAsia="宋体" w:hAnsi="宋体"/>
                <w:kern w:val="0"/>
                <w:sz w:val="15"/>
                <w:szCs w:val="15"/>
              </w:rPr>
            </w:pPr>
            <w:r w:rsidRPr="00696C45">
              <w:rPr>
                <w:rFonts w:ascii="宋体" w:eastAsia="宋体" w:hAnsi="宋体" w:cs="宋体" w:hint="eastAsia"/>
                <w:kern w:val="0"/>
                <w:sz w:val="15"/>
                <w:szCs w:val="15"/>
              </w:rPr>
              <w:lastRenderedPageBreak/>
              <w:t>省名</w:t>
            </w:r>
          </w:p>
        </w:tc>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kern w:val="0"/>
                <w:sz w:val="15"/>
                <w:szCs w:val="15"/>
              </w:rPr>
              <w:t>1999</w:t>
            </w:r>
            <w:r w:rsidRPr="00696C45">
              <w:rPr>
                <w:rFonts w:ascii="宋体" w:eastAsia="宋体" w:hAnsi="宋体" w:cs="宋体" w:hint="eastAsia"/>
                <w:kern w:val="0"/>
                <w:sz w:val="15"/>
                <w:szCs w:val="15"/>
              </w:rPr>
              <w:t>年</w:t>
            </w:r>
          </w:p>
        </w:tc>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kern w:val="0"/>
                <w:sz w:val="15"/>
                <w:szCs w:val="15"/>
              </w:rPr>
              <w:t>2000</w:t>
            </w:r>
            <w:r w:rsidRPr="00696C45">
              <w:rPr>
                <w:rFonts w:ascii="宋体" w:eastAsia="宋体" w:hAnsi="宋体" w:cs="宋体" w:hint="eastAsia"/>
                <w:kern w:val="0"/>
                <w:sz w:val="15"/>
                <w:szCs w:val="15"/>
              </w:rPr>
              <w:t>年</w:t>
            </w:r>
          </w:p>
        </w:tc>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kern w:val="0"/>
                <w:sz w:val="15"/>
                <w:szCs w:val="15"/>
              </w:rPr>
              <w:t>2001</w:t>
            </w:r>
            <w:r w:rsidRPr="00696C45">
              <w:rPr>
                <w:rFonts w:ascii="宋体" w:eastAsia="宋体" w:hAnsi="宋体" w:cs="宋体" w:hint="eastAsia"/>
                <w:kern w:val="0"/>
                <w:sz w:val="15"/>
                <w:szCs w:val="15"/>
              </w:rPr>
              <w:t>年</w:t>
            </w:r>
          </w:p>
        </w:tc>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cs="宋体"/>
                <w:kern w:val="0"/>
                <w:sz w:val="15"/>
                <w:szCs w:val="15"/>
              </w:rPr>
            </w:pPr>
            <w:r w:rsidRPr="00696C45">
              <w:rPr>
                <w:rFonts w:ascii="宋体" w:eastAsia="宋体" w:hAnsi="宋体"/>
                <w:kern w:val="0"/>
                <w:sz w:val="15"/>
                <w:szCs w:val="15"/>
              </w:rPr>
              <w:t>2002</w:t>
            </w:r>
            <w:r w:rsidRPr="00696C45">
              <w:rPr>
                <w:rFonts w:ascii="宋体" w:eastAsia="宋体" w:hAnsi="宋体" w:cs="宋体" w:hint="eastAsia"/>
                <w:kern w:val="0"/>
                <w:sz w:val="15"/>
                <w:szCs w:val="15"/>
              </w:rPr>
              <w:t>年</w:t>
            </w:r>
          </w:p>
        </w:tc>
      </w:tr>
      <w:tr w:rsidR="00696C45" w:rsidRPr="00696C45" w:rsidTr="00696C45">
        <w:trPr>
          <w:jc w:val="center"/>
        </w:trPr>
        <w:tc>
          <w:tcPr>
            <w:tcW w:w="1587" w:type="dxa"/>
          </w:tcPr>
          <w:p w:rsidR="00696C45" w:rsidRPr="00696C45" w:rsidRDefault="00696C45" w:rsidP="00696C45">
            <w:pPr>
              <w:widowControl/>
              <w:spacing w:before="100" w:beforeAutospacing="1" w:after="100" w:afterAutospacing="1"/>
              <w:jc w:val="center"/>
              <w:rPr>
                <w:rFonts w:ascii="宋体" w:eastAsia="宋体" w:hAnsi="宋体"/>
                <w:kern w:val="0"/>
                <w:sz w:val="15"/>
                <w:szCs w:val="15"/>
              </w:rPr>
            </w:pPr>
            <w:r w:rsidRPr="00696C45">
              <w:rPr>
                <w:rFonts w:ascii="宋体" w:eastAsia="宋体" w:hAnsi="宋体" w:cs="宋体" w:hint="eastAsia"/>
                <w:kern w:val="0"/>
                <w:sz w:val="15"/>
                <w:szCs w:val="15"/>
              </w:rPr>
              <w:t>河南</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5843</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6313</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6690</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7005</w:t>
            </w:r>
          </w:p>
        </w:tc>
      </w:tr>
      <w:tr w:rsidR="00696C45" w:rsidRPr="00696C45" w:rsidTr="00696C45">
        <w:trPr>
          <w:jc w:val="center"/>
        </w:trPr>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cs="宋体" w:hint="eastAsia"/>
                <w:kern w:val="0"/>
                <w:sz w:val="15"/>
                <w:szCs w:val="15"/>
              </w:rPr>
              <w:t>河北</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532</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620</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699</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743</w:t>
            </w:r>
          </w:p>
        </w:tc>
      </w:tr>
      <w:tr w:rsidR="00696C45" w:rsidRPr="00696C45" w:rsidTr="00696C45">
        <w:trPr>
          <w:jc w:val="center"/>
        </w:trPr>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cs="宋体" w:hint="eastAsia"/>
                <w:kern w:val="0"/>
                <w:sz w:val="15"/>
                <w:szCs w:val="15"/>
              </w:rPr>
              <w:t>四川</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367</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393</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427</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461</w:t>
            </w:r>
          </w:p>
        </w:tc>
      </w:tr>
      <w:tr w:rsidR="00696C45" w:rsidRPr="00696C45" w:rsidTr="00696C45">
        <w:trPr>
          <w:jc w:val="center"/>
        </w:trPr>
        <w:tc>
          <w:tcPr>
            <w:tcW w:w="1587" w:type="dxa"/>
          </w:tcPr>
          <w:p w:rsidR="00696C45" w:rsidRPr="00696C45" w:rsidRDefault="00696C45" w:rsidP="00696C45">
            <w:pPr>
              <w:widowControl/>
              <w:wordWrap w:val="0"/>
              <w:spacing w:before="100" w:beforeAutospacing="1" w:after="100" w:afterAutospacing="1"/>
              <w:jc w:val="center"/>
              <w:rPr>
                <w:rFonts w:ascii="宋体" w:eastAsia="宋体" w:hAnsi="宋体"/>
                <w:kern w:val="0"/>
                <w:sz w:val="15"/>
                <w:szCs w:val="15"/>
              </w:rPr>
            </w:pPr>
            <w:r w:rsidRPr="00696C45">
              <w:rPr>
                <w:rFonts w:ascii="宋体" w:eastAsia="宋体" w:hAnsi="宋体" w:cs="宋体" w:hint="eastAsia"/>
                <w:kern w:val="0"/>
                <w:sz w:val="15"/>
                <w:szCs w:val="15"/>
              </w:rPr>
              <w:t>山东</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606</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678</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695</w:t>
            </w:r>
          </w:p>
        </w:tc>
        <w:tc>
          <w:tcPr>
            <w:tcW w:w="1587" w:type="dxa"/>
          </w:tcPr>
          <w:p w:rsidR="00696C45" w:rsidRPr="00696C45" w:rsidRDefault="00696C45" w:rsidP="00696C45">
            <w:pPr>
              <w:widowControl/>
              <w:wordWrap w:val="0"/>
              <w:spacing w:before="100" w:beforeAutospacing="1" w:after="100" w:afterAutospacing="1"/>
              <w:jc w:val="right"/>
              <w:rPr>
                <w:rFonts w:ascii="宋体" w:eastAsia="宋体" w:hAnsi="宋体"/>
                <w:kern w:val="0"/>
                <w:sz w:val="15"/>
                <w:szCs w:val="15"/>
              </w:rPr>
            </w:pPr>
            <w:r w:rsidRPr="00696C45">
              <w:rPr>
                <w:rFonts w:ascii="宋体" w:eastAsia="宋体" w:hAnsi="宋体"/>
                <w:kern w:val="0"/>
                <w:sz w:val="15"/>
                <w:szCs w:val="15"/>
              </w:rPr>
              <w:t>675</w:t>
            </w:r>
          </w:p>
        </w:tc>
      </w:tr>
    </w:tbl>
    <w:p w:rsidR="00735E67" w:rsidRPr="000F4D8D" w:rsidRDefault="00735E67" w:rsidP="00696C45">
      <w:pPr>
        <w:spacing w:line="460" w:lineRule="exact"/>
        <w:jc w:val="left"/>
        <w:rPr>
          <w:rFonts w:ascii="黑体" w:eastAsia="黑体" w:hAnsi="黑体"/>
          <w:color w:val="002060"/>
          <w:szCs w:val="21"/>
        </w:rPr>
      </w:pPr>
    </w:p>
    <w:sectPr w:rsidR="00735E67" w:rsidRPr="000F4D8D" w:rsidSect="00696C45">
      <w:pgSz w:w="14572" w:h="10319" w:orient="landscape" w:code="13"/>
      <w:pgMar w:top="1134" w:right="1247" w:bottom="1134" w:left="1247"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58" w:rsidRDefault="00C94E58" w:rsidP="00290B72">
      <w:r>
        <w:separator/>
      </w:r>
    </w:p>
  </w:endnote>
  <w:endnote w:type="continuationSeparator" w:id="0">
    <w:p w:rsidR="00C94E58" w:rsidRDefault="00C94E58" w:rsidP="0029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AA" w:rsidRPr="00DB10AA" w:rsidRDefault="00DB10AA">
    <w:pPr>
      <w:pStyle w:val="a5"/>
      <w:rPr>
        <w:rFonts w:ascii="黑体" w:eastAsia="黑体" w:hAnsi="黑体"/>
        <w:color w:val="002060"/>
      </w:rPr>
    </w:pPr>
    <w:r w:rsidRPr="00DB10AA">
      <w:rPr>
        <w:rFonts w:ascii="黑体" w:eastAsia="黑体" w:hAnsi="黑体" w:hint="eastAsia"/>
        <w:color w:val="002060"/>
      </w:rPr>
      <w:t>姓名、学号</w:t>
    </w:r>
    <w:r>
      <w:ptab w:relativeTo="margin" w:alignment="center" w:leader="none"/>
    </w:r>
    <w:r>
      <w:ptab w:relativeTo="margin" w:alignment="right" w:leader="none"/>
    </w:r>
    <w:r w:rsidRPr="00DB10AA">
      <w:rPr>
        <w:rFonts w:ascii="黑体" w:eastAsia="黑体" w:hAnsi="黑体" w:hint="eastAsia"/>
        <w:color w:val="002060"/>
      </w:rPr>
      <w:t>第</w:t>
    </w:r>
    <w:r w:rsidRPr="00DB10AA">
      <w:rPr>
        <w:rFonts w:ascii="黑体" w:eastAsia="黑体" w:hAnsi="黑体"/>
        <w:b/>
        <w:bCs/>
        <w:color w:val="002060"/>
      </w:rPr>
      <w:fldChar w:fldCharType="begin"/>
    </w:r>
    <w:r w:rsidRPr="00DB10AA">
      <w:rPr>
        <w:rFonts w:ascii="黑体" w:eastAsia="黑体" w:hAnsi="黑体"/>
        <w:b/>
        <w:bCs/>
        <w:color w:val="002060"/>
      </w:rPr>
      <w:instrText>PAGE  \* Arabic  \* MERGEFORMAT</w:instrText>
    </w:r>
    <w:r w:rsidRPr="00DB10AA">
      <w:rPr>
        <w:rFonts w:ascii="黑体" w:eastAsia="黑体" w:hAnsi="黑体"/>
        <w:b/>
        <w:bCs/>
        <w:color w:val="002060"/>
      </w:rPr>
      <w:fldChar w:fldCharType="separate"/>
    </w:r>
    <w:r w:rsidR="00696C45" w:rsidRPr="00696C45">
      <w:rPr>
        <w:rFonts w:ascii="黑体" w:eastAsia="黑体" w:hAnsi="黑体"/>
        <w:b/>
        <w:bCs/>
        <w:noProof/>
        <w:color w:val="002060"/>
        <w:lang w:val="zh-CN"/>
      </w:rPr>
      <w:t>2</w:t>
    </w:r>
    <w:r w:rsidRPr="00DB10AA">
      <w:rPr>
        <w:rFonts w:ascii="黑体" w:eastAsia="黑体" w:hAnsi="黑体"/>
        <w:b/>
        <w:bCs/>
        <w:color w:val="002060"/>
      </w:rPr>
      <w:fldChar w:fldCharType="end"/>
    </w:r>
    <w:r w:rsidRPr="00DB10AA">
      <w:rPr>
        <w:rFonts w:ascii="黑体" w:eastAsia="黑体" w:hAnsi="黑体" w:hint="eastAsia"/>
        <w:b/>
        <w:bCs/>
        <w:color w:val="002060"/>
      </w:rPr>
      <w:t>页，共</w:t>
    </w:r>
    <w:r w:rsidRPr="00DB10AA">
      <w:rPr>
        <w:rFonts w:ascii="黑体" w:eastAsia="黑体" w:hAnsi="黑体"/>
        <w:b/>
        <w:bCs/>
        <w:color w:val="002060"/>
      </w:rPr>
      <w:fldChar w:fldCharType="begin"/>
    </w:r>
    <w:r w:rsidRPr="00DB10AA">
      <w:rPr>
        <w:rFonts w:ascii="黑体" w:eastAsia="黑体" w:hAnsi="黑体"/>
        <w:b/>
        <w:bCs/>
        <w:color w:val="002060"/>
      </w:rPr>
      <w:instrText>NUMPAGES  \* Arabic  \* MERGEFORMAT</w:instrText>
    </w:r>
    <w:r w:rsidRPr="00DB10AA">
      <w:rPr>
        <w:rFonts w:ascii="黑体" w:eastAsia="黑体" w:hAnsi="黑体"/>
        <w:b/>
        <w:bCs/>
        <w:color w:val="002060"/>
      </w:rPr>
      <w:fldChar w:fldCharType="separate"/>
    </w:r>
    <w:r w:rsidR="00696C45" w:rsidRPr="00696C45">
      <w:rPr>
        <w:rFonts w:ascii="黑体" w:eastAsia="黑体" w:hAnsi="黑体"/>
        <w:b/>
        <w:bCs/>
        <w:noProof/>
        <w:color w:val="002060"/>
        <w:lang w:val="zh-CN"/>
      </w:rPr>
      <w:t>2</w:t>
    </w:r>
    <w:r w:rsidRPr="00DB10AA">
      <w:rPr>
        <w:rFonts w:ascii="黑体" w:eastAsia="黑体" w:hAnsi="黑体"/>
        <w:b/>
        <w:bCs/>
        <w:color w:val="002060"/>
      </w:rPr>
      <w:fldChar w:fldCharType="end"/>
    </w:r>
    <w:r w:rsidRPr="00DB10AA">
      <w:rPr>
        <w:rFonts w:ascii="黑体" w:eastAsia="黑体" w:hAnsi="黑体" w:hint="eastAsia"/>
        <w:b/>
        <w:bCs/>
        <w:color w:val="002060"/>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58" w:rsidRDefault="00C94E58" w:rsidP="00290B72">
      <w:r>
        <w:separator/>
      </w:r>
    </w:p>
  </w:footnote>
  <w:footnote w:type="continuationSeparator" w:id="0">
    <w:p w:rsidR="00C94E58" w:rsidRDefault="00C94E58" w:rsidP="00290B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AA" w:rsidRDefault="00DB10AA" w:rsidP="00DB10AA">
    <w:pPr>
      <w:pStyle w:val="a3"/>
      <w:rPr>
        <w:rFonts w:ascii="黑体" w:eastAsia="黑体" w:hAnsi="黑体"/>
        <w:color w:val="002060"/>
      </w:rPr>
    </w:pPr>
    <w:r>
      <w:rPr>
        <w:noProof/>
      </w:rPr>
      <w:drawing>
        <wp:anchor distT="0" distB="0" distL="114300" distR="114300" simplePos="0" relativeHeight="251658240" behindDoc="0" locked="0" layoutInCell="1" allowOverlap="1" wp14:anchorId="0456E7ED" wp14:editId="150C34EF">
          <wp:simplePos x="0" y="0"/>
          <wp:positionH relativeFrom="margin">
            <wp:align>left</wp:align>
          </wp:positionH>
          <wp:positionV relativeFrom="margin">
            <wp:posOffset>-566420</wp:posOffset>
          </wp:positionV>
          <wp:extent cx="827405" cy="35941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_top.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7405" cy="359410"/>
                  </a:xfrm>
                  <a:prstGeom prst="rect">
                    <a:avLst/>
                  </a:prstGeom>
                </pic:spPr>
              </pic:pic>
            </a:graphicData>
          </a:graphic>
          <wp14:sizeRelH relativeFrom="page">
            <wp14:pctWidth>0</wp14:pctWidth>
          </wp14:sizeRelH>
          <wp14:sizeRelV relativeFrom="page">
            <wp14:pctHeight>0</wp14:pctHeight>
          </wp14:sizeRelV>
        </wp:anchor>
      </w:drawing>
    </w:r>
    <w:r w:rsidRPr="00DB10AA">
      <w:rPr>
        <w:rFonts w:ascii="黑体" w:eastAsia="黑体" w:hAnsi="黑体" w:hint="eastAsia"/>
        <w:color w:val="002060"/>
      </w:rPr>
      <w:t>国家电网公司职称计算机水平考试——</w:t>
    </w:r>
    <w:r w:rsidRPr="00DB10AA">
      <w:rPr>
        <w:rFonts w:ascii="黑体" w:eastAsia="黑体" w:hAnsi="黑体"/>
        <w:color w:val="002060"/>
      </w:rPr>
      <w:t>1</w:t>
    </w:r>
  </w:p>
  <w:p w:rsidR="00DB10AA" w:rsidRPr="00DB10AA" w:rsidRDefault="00DB10AA" w:rsidP="00DB10AA">
    <w:pPr>
      <w:pStyle w:val="a3"/>
      <w:rPr>
        <w:rFonts w:ascii="黑体" w:eastAsia="黑体" w:hAnsi="黑体" w:hint="eastAsia"/>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8A"/>
    <w:rsid w:val="000F4D8D"/>
    <w:rsid w:val="00215AA4"/>
    <w:rsid w:val="00290B72"/>
    <w:rsid w:val="00644DBC"/>
    <w:rsid w:val="00696C45"/>
    <w:rsid w:val="00735E67"/>
    <w:rsid w:val="007F208A"/>
    <w:rsid w:val="00887CC6"/>
    <w:rsid w:val="0092381E"/>
    <w:rsid w:val="00C94E58"/>
    <w:rsid w:val="00DB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D03EA"/>
  <w15:chartTrackingRefBased/>
  <w15:docId w15:val="{195A053C-7D02-4A7D-926E-5B5771CA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B72"/>
    <w:rPr>
      <w:sz w:val="18"/>
      <w:szCs w:val="18"/>
    </w:rPr>
  </w:style>
  <w:style w:type="paragraph" w:styleId="a5">
    <w:name w:val="footer"/>
    <w:basedOn w:val="a"/>
    <w:link w:val="a6"/>
    <w:uiPriority w:val="99"/>
    <w:unhideWhenUsed/>
    <w:rsid w:val="00290B72"/>
    <w:pPr>
      <w:tabs>
        <w:tab w:val="center" w:pos="4153"/>
        <w:tab w:val="right" w:pos="8306"/>
      </w:tabs>
      <w:snapToGrid w:val="0"/>
      <w:jc w:val="left"/>
    </w:pPr>
    <w:rPr>
      <w:sz w:val="18"/>
      <w:szCs w:val="18"/>
    </w:rPr>
  </w:style>
  <w:style w:type="character" w:customStyle="1" w:styleId="a6">
    <w:name w:val="页脚 字符"/>
    <w:basedOn w:val="a0"/>
    <w:link w:val="a5"/>
    <w:uiPriority w:val="99"/>
    <w:rsid w:val="00290B72"/>
    <w:rPr>
      <w:sz w:val="18"/>
      <w:szCs w:val="18"/>
    </w:rPr>
  </w:style>
  <w:style w:type="table" w:styleId="a7">
    <w:name w:val="Table Grid"/>
    <w:basedOn w:val="a1"/>
    <w:uiPriority w:val="39"/>
    <w:rsid w:val="00696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DCF4-B9BB-44FE-A110-F0468B5E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5</cp:revision>
  <dcterms:created xsi:type="dcterms:W3CDTF">2020-10-27T06:45:00Z</dcterms:created>
  <dcterms:modified xsi:type="dcterms:W3CDTF">2020-10-27T07:35:00Z</dcterms:modified>
</cp:coreProperties>
</file>