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b w:val="1"/>
          <w:rtl w:val="0"/>
        </w:rPr>
        <w:t xml:space="preserve">Project 4 Benchmark and Analysis</w:t>
        <w:tab/>
        <w:tab/>
        <w:tab/>
        <w:tab/>
        <w:tab/>
        <w:t xml:space="preserve">     Elton Vinh</w:t>
      </w:r>
    </w:p>
    <w:p w:rsidR="00000000" w:rsidDel="00000000" w:rsidP="00000000" w:rsidRDefault="00000000" w:rsidRPr="00000000">
      <w:pPr>
        <w:contextualSpacing w:val="0"/>
        <w:jc w:val="right"/>
      </w:pPr>
      <w:r w:rsidDel="00000000" w:rsidR="00000000" w:rsidRPr="00000000">
        <w:rPr>
          <w:b w:val="1"/>
          <w:rtl w:val="0"/>
        </w:rPr>
        <w:t xml:space="preserve">Thien Van</w:t>
      </w:r>
    </w:p>
    <w:p w:rsidR="00000000" w:rsidDel="00000000" w:rsidP="00000000" w:rsidRDefault="00000000" w:rsidRPr="00000000">
      <w:pPr>
        <w:contextualSpacing w:val="0"/>
        <w:jc w:val="right"/>
      </w:pPr>
      <w:r w:rsidDel="00000000" w:rsidR="00000000" w:rsidRPr="00000000">
        <w:rPr>
          <w:b w:val="1"/>
          <w:rtl w:val="0"/>
        </w:rPr>
        <w:t xml:space="preserve">CS 146</w:t>
      </w:r>
    </w:p>
    <w:p w:rsidR="00000000" w:rsidDel="00000000" w:rsidP="00000000" w:rsidRDefault="00000000" w:rsidRPr="00000000">
      <w:pPr>
        <w:contextualSpacing w:val="0"/>
        <w:jc w:val="right"/>
      </w:pPr>
      <w:r w:rsidDel="00000000" w:rsidR="00000000" w:rsidRPr="00000000">
        <w:rPr>
          <w:b w:val="1"/>
          <w:rtl w:val="0"/>
        </w:rPr>
        <w:t xml:space="preserve">Anna Shaverdian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Hash Table Insertion Sort</w:t>
      </w:r>
      <w:r w:rsidDel="00000000" w:rsidR="00000000" w:rsidRPr="00000000">
        <w:rPr>
          <w:rtl w:val="0"/>
        </w:rPr>
      </w:r>
    </w:p>
    <w:tbl>
      <w:tblPr>
        <w:tblStyle w:val="Table1"/>
        <w:bidi w:val="0"/>
        <w:tblW w:w="9465.0" w:type="dxa"/>
        <w:jc w:val="left"/>
        <w:tblInd w:w="1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55"/>
        <w:gridCol w:w="1050"/>
        <w:gridCol w:w="1080"/>
        <w:gridCol w:w="1095"/>
        <w:gridCol w:w="1065"/>
        <w:gridCol w:w="1065"/>
        <w:gridCol w:w="2355"/>
        <w:tblGridChange w:id="0">
          <w:tblGrid>
            <w:gridCol w:w="1755"/>
            <w:gridCol w:w="1050"/>
            <w:gridCol w:w="1080"/>
            <w:gridCol w:w="1095"/>
            <w:gridCol w:w="1065"/>
            <w:gridCol w:w="1065"/>
            <w:gridCol w:w="235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Trial 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Trial 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Trial 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Trial 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Trial 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Average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Hamlet</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0.1618665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0.1620593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0.1620701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0.1700601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0.1660601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0.16442322</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Clarissa</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1.4039681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1.409396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1.4349659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1.4393151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1.4215141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1.42183184</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The-Tempest</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0.1499929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0.149757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0.1520545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0.1487179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0.147982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0.14970086</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Essays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0.2450887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0.2521023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0.2500908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0.241342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0.248562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0.24743716</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Soled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1.8986874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1.8514433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1.8796805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1.8786497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1.8854475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1.87878168</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The-New-Atlantis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0.1350489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0.1293835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0.1400859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0.1347601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0.1320464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0.13426496</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King-James-Bible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0.6938983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0.69724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0.6921361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0.6899267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0.6943227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0.69350476</w:t>
            </w:r>
          </w:p>
        </w:tc>
      </w:tr>
      <w:tr>
        <w:trPr>
          <w:trHeight w:val="240" w:hRule="atLeast"/>
        </w:trP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Alice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0.1260581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0.1346028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0.1460512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0.1370266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0.138021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0.13635194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Hash Table QuickSort</w:t>
      </w:r>
    </w:p>
    <w:tbl>
      <w:tblPr>
        <w:tblStyle w:val="Table2"/>
        <w:bidi w:val="0"/>
        <w:tblW w:w="9465.0" w:type="dxa"/>
        <w:jc w:val="left"/>
        <w:tblInd w:w="1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25"/>
        <w:gridCol w:w="1065"/>
        <w:gridCol w:w="1095"/>
        <w:gridCol w:w="1065"/>
        <w:gridCol w:w="1095"/>
        <w:gridCol w:w="1110"/>
        <w:gridCol w:w="2310"/>
        <w:tblGridChange w:id="0">
          <w:tblGrid>
            <w:gridCol w:w="1725"/>
            <w:gridCol w:w="1065"/>
            <w:gridCol w:w="1095"/>
            <w:gridCol w:w="1065"/>
            <w:gridCol w:w="1095"/>
            <w:gridCol w:w="1110"/>
            <w:gridCol w:w="2310"/>
          </w:tblGrid>
        </w:tblGridChange>
      </w:tblGrid>
      <w:tr>
        <w:trPr>
          <w:trHeight w:val="100" w:hRule="atLeast"/>
        </w:trP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Trial 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Trial 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Trial 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Trial 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Trial 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Average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Hamlet</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0.1166245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0.1181124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0.1220456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0.1230329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0.1171785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0.11939878</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Clarissa</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0.4094273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0.4021197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0.4273366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0.4061405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0.408303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0.41066542</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The-Tempest</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0.1171009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0.120048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0.1230505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0.1170543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0.1243096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0.12031266</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Essays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0.1280469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0.1316871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0.1360981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0.1351754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0.1381009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0.13382168</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Soled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0.2790243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0.2738769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0.275109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0.2770855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0.2776611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0.27655136</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The-New-Atlantis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0.114041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0.1131447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0.1090611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0.1150189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0.1095751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0.11216816</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King-James-Bible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0.3331454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0.333802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0.3312916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0.3345773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0.3325464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0.33307254</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Alice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0.1130333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0.1130697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0.1150473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0.1050639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0.114012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0.11204524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Hash Table MergeSort</w:t>
      </w:r>
    </w:p>
    <w:tbl>
      <w:tblPr>
        <w:tblStyle w:val="Table3"/>
        <w:bidi w:val="0"/>
        <w:tblW w:w="9465.0" w:type="dxa"/>
        <w:jc w:val="left"/>
        <w:tblInd w:w="1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55"/>
        <w:gridCol w:w="1185"/>
        <w:gridCol w:w="1035"/>
        <w:gridCol w:w="1020"/>
        <w:gridCol w:w="1185"/>
        <w:gridCol w:w="1035"/>
        <w:gridCol w:w="2250"/>
        <w:tblGridChange w:id="0">
          <w:tblGrid>
            <w:gridCol w:w="1755"/>
            <w:gridCol w:w="1185"/>
            <w:gridCol w:w="1035"/>
            <w:gridCol w:w="1020"/>
            <w:gridCol w:w="1185"/>
            <w:gridCol w:w="1035"/>
            <w:gridCol w:w="225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Trial 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Trial 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Trial 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Trial 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Trial 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Average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Hamlet</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0.1171112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0.1191582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0.1190428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0.1319312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0.1170597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0.12086062</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Clarissa</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0.4212776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0.4208346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0.4094006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0.4115662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0.415312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0.4156782</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The-Tempest</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0.1200466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0.1235185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0.1180438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0.1170216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0.1180519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0.11933648</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Essays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0.1320521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0.1325504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0.1345509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0.1360618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0.136385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0.13432004</w:t>
            </w:r>
          </w:p>
        </w:tc>
      </w:tr>
      <w:tr>
        <w:trPr>
          <w:trHeight w:val="380" w:hRule="atLeast"/>
        </w:trP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Soled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0.2840403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0.2766318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0.2770992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0.2731057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0.28235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0.2786454</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The-New-Atlantis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0.1150996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0.1070797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0.116017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0.1110404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0.1167177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0.11319088</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King-James-Bible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0.3344644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0.3290961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0.3354289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0.3306898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0.3291578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0.3317674</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Alice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0.1118234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0.1154166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0.1139392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0.1120516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0.1130318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0.11325252</w:t>
            </w:r>
          </w:p>
        </w:tc>
      </w:tr>
    </w:tbl>
    <w:p w:rsidR="00000000" w:rsidDel="00000000" w:rsidP="00000000" w:rsidRDefault="00000000" w:rsidRPr="00000000">
      <w:pPr>
        <w:contextualSpacing w:val="0"/>
      </w:pPr>
      <w:r w:rsidDel="00000000" w:rsidR="00000000" w:rsidRPr="00000000">
        <w:rPr>
          <w:b w:val="1"/>
          <w:sz w:val="20"/>
          <w:szCs w:val="20"/>
          <w:rtl w:val="0"/>
        </w:rPr>
        <w:t xml:space="preserve">Note:</w:t>
      </w:r>
      <w:r w:rsidDel="00000000" w:rsidR="00000000" w:rsidRPr="00000000">
        <w:rPr>
          <w:sz w:val="20"/>
          <w:szCs w:val="20"/>
          <w:rtl w:val="0"/>
        </w:rPr>
        <w:t xml:space="preserve"> All times in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Best Times</w:t>
      </w:r>
    </w:p>
    <w:tbl>
      <w:tblPr>
        <w:tblStyle w:val="Table4"/>
        <w:bidi w:val="0"/>
        <w:tblW w:w="75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665"/>
        <w:gridCol w:w="1335"/>
        <w:gridCol w:w="1500"/>
        <w:gridCol w:w="1500"/>
        <w:gridCol w:w="1500"/>
        <w:tblGridChange w:id="0">
          <w:tblGrid>
            <w:gridCol w:w="1665"/>
            <w:gridCol w:w="1335"/>
            <w:gridCol w:w="1500"/>
            <w:gridCol w:w="1500"/>
            <w:gridCol w:w="150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Document</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rtl w:val="0"/>
              </w:rPr>
              <w:t xml:space="preserve">Best Time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Sort Method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rtl w:val="0"/>
              </w:rPr>
              <w:t xml:space="preserve">Unique Words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rtl w:val="0"/>
              </w:rPr>
              <w:t xml:space="preserve">Total Words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Hamlet</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0.11939878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QS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4851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35064</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Clarissa</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0.41066542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QS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21209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996459</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The-Tempest</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0.11933648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4291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25836</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Essays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0.13382168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QS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7256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56431</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Soled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0.27655136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QS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25356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259749</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The-New-Atlantis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0.11216816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QS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3088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17729</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King-James-Bible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0.3317674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12895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795934</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Alice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0.11204524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QS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3009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30419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Runtimes of Sorting Algorithms</w:t>
      </w:r>
    </w:p>
    <w:p w:rsidR="00000000" w:rsidDel="00000000" w:rsidP="00000000" w:rsidRDefault="00000000" w:rsidRPr="00000000">
      <w:pPr>
        <w:contextualSpacing w:val="0"/>
      </w:pPr>
      <w:r w:rsidDel="00000000" w:rsidR="00000000" w:rsidRPr="00000000">
        <w:rPr>
          <w:rtl w:val="0"/>
        </w:rPr>
        <w:t xml:space="preserve">Best</w:t>
        <w:tab/>
        <w:tab/>
        <w:tab/>
        <w:tab/>
        <w:t xml:space="preserve">        Average</w:t>
        <w:tab/>
        <w:tab/>
        <w:tab/>
        <w:t xml:space="preserve"> Worst</w:t>
      </w:r>
    </w:p>
    <w:p w:rsidR="00000000" w:rsidDel="00000000" w:rsidP="00000000" w:rsidRDefault="00000000" w:rsidRPr="00000000">
      <w:pPr>
        <w:contextualSpacing w:val="0"/>
      </w:pPr>
      <w:r w:rsidDel="00000000" w:rsidR="00000000" w:rsidRPr="00000000">
        <w:rPr>
          <w:rtl w:val="0"/>
        </w:rPr>
        <w:t xml:space="preserve">Quicksort</w:t>
      </w:r>
    </w:p>
    <w:tbl>
      <w:tblPr>
        <w:tblStyle w:val="Table5"/>
        <w:bidi w:val="0"/>
        <w:tblW w:w="8649.976744186046" w:type="dxa"/>
        <w:jc w:val="left"/>
        <w:tblLayout w:type="fixed"/>
        <w:tblLook w:val="0600"/>
      </w:tblPr>
      <w:tblGrid>
        <w:gridCol w:w="3234.9767441860467"/>
        <w:gridCol w:w="2460"/>
        <w:gridCol w:w="2955"/>
        <w:tblGridChange w:id="0">
          <w:tblGrid>
            <w:gridCol w:w="3234.9767441860467"/>
            <w:gridCol w:w="2460"/>
            <w:gridCol w:w="2955"/>
          </w:tblGrid>
        </w:tblGridChange>
      </w:tblGrid>
      <w:tr>
        <w:trPr>
          <w:trHeight w:val="480" w:hRule="atLeast"/>
        </w:trPr>
        <w:tc>
          <w:tcPr>
            <w:tcBorders>
              <w:top w:color="dddddd" w:space="0" w:sz="6" w:val="single"/>
            </w:tcBorders>
            <w:shd w:fill="efefef"/>
            <w:tcMar>
              <w:top w:w="120.0" w:type="dxa"/>
              <w:left w:w="120.0" w:type="dxa"/>
              <w:bottom w:w="12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O(n log(n))</w:t>
            </w:r>
          </w:p>
        </w:tc>
        <w:tc>
          <w:tcPr>
            <w:tcBorders>
              <w:top w:color="dddddd" w:space="0" w:sz="6" w:val="single"/>
            </w:tcBorders>
            <w:shd w:fill="efefef"/>
            <w:tcMar>
              <w:top w:w="120.0" w:type="dxa"/>
              <w:left w:w="120.0" w:type="dxa"/>
              <w:bottom w:w="12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O(n log(n))</w:t>
            </w:r>
          </w:p>
        </w:tc>
        <w:tc>
          <w:tcPr>
            <w:tcBorders>
              <w:top w:color="dddddd" w:space="0" w:sz="6" w:val="single"/>
            </w:tcBorders>
            <w:shd w:fill="efefef"/>
            <w:tcMar>
              <w:top w:w="120.0" w:type="dxa"/>
              <w:left w:w="120.0" w:type="dxa"/>
              <w:bottom w:w="12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O(n^2)</w:t>
            </w:r>
          </w:p>
        </w:tc>
      </w:tr>
    </w:tbl>
    <w:p w:rsidR="00000000" w:rsidDel="00000000" w:rsidP="00000000" w:rsidRDefault="00000000" w:rsidRPr="00000000">
      <w:pPr>
        <w:contextualSpacing w:val="0"/>
      </w:pPr>
      <w:r w:rsidDel="00000000" w:rsidR="00000000" w:rsidRPr="00000000">
        <w:rPr>
          <w:rtl w:val="0"/>
        </w:rPr>
        <w:t xml:space="preserve">Mergesort</w:t>
      </w:r>
    </w:p>
    <w:tbl>
      <w:tblPr>
        <w:tblStyle w:val="Table6"/>
        <w:bidi w:val="0"/>
        <w:tblW w:w="8640.0" w:type="dxa"/>
        <w:jc w:val="left"/>
        <w:tblLayout w:type="fixed"/>
        <w:tblLook w:val="0600"/>
      </w:tblPr>
      <w:tblGrid>
        <w:gridCol w:w="3225"/>
        <w:gridCol w:w="2445"/>
        <w:gridCol w:w="2970"/>
        <w:tblGridChange w:id="0">
          <w:tblGrid>
            <w:gridCol w:w="3225"/>
            <w:gridCol w:w="2445"/>
            <w:gridCol w:w="2970"/>
          </w:tblGrid>
        </w:tblGridChange>
      </w:tblGrid>
      <w:tr>
        <w:trPr>
          <w:trHeight w:val="520" w:hRule="atLeast"/>
        </w:trPr>
        <w:tc>
          <w:tcPr>
            <w:tcBorders>
              <w:top w:color="dddddd" w:space="0" w:sz="6" w:val="single"/>
            </w:tcBorders>
            <w:shd w:fill="efefef"/>
            <w:tcMar>
              <w:top w:w="120.0" w:type="dxa"/>
              <w:left w:w="120.0" w:type="dxa"/>
              <w:bottom w:w="12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O(n log(n))</w:t>
            </w:r>
          </w:p>
        </w:tc>
        <w:tc>
          <w:tcPr>
            <w:tcBorders>
              <w:top w:color="dddddd" w:space="0" w:sz="6" w:val="single"/>
            </w:tcBorders>
            <w:shd w:fill="efefef"/>
            <w:tcMar>
              <w:top w:w="120.0" w:type="dxa"/>
              <w:left w:w="120.0" w:type="dxa"/>
              <w:bottom w:w="12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O(n log(n))</w:t>
            </w:r>
          </w:p>
        </w:tc>
        <w:tc>
          <w:tcPr>
            <w:tcBorders>
              <w:top w:color="dddddd" w:space="0" w:sz="6" w:val="single"/>
            </w:tcBorders>
            <w:shd w:fill="efefef"/>
            <w:tcMar>
              <w:top w:w="120.0" w:type="dxa"/>
              <w:left w:w="120.0" w:type="dxa"/>
              <w:bottom w:w="12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O(n log(n))</w:t>
            </w:r>
          </w:p>
        </w:tc>
      </w:tr>
    </w:tbl>
    <w:p w:rsidR="00000000" w:rsidDel="00000000" w:rsidP="00000000" w:rsidRDefault="00000000" w:rsidRPr="00000000">
      <w:pPr>
        <w:contextualSpacing w:val="0"/>
      </w:pPr>
      <w:r w:rsidDel="00000000" w:rsidR="00000000" w:rsidRPr="00000000">
        <w:rPr>
          <w:rtl w:val="0"/>
        </w:rPr>
        <w:t xml:space="preserve">Insertion Sort</w:t>
      </w:r>
    </w:p>
    <w:tbl>
      <w:tblPr>
        <w:tblStyle w:val="Table7"/>
        <w:bidi w:val="0"/>
        <w:tblW w:w="8655.0" w:type="dxa"/>
        <w:jc w:val="left"/>
        <w:tblLayout w:type="fixed"/>
        <w:tblLook w:val="0600"/>
      </w:tblPr>
      <w:tblGrid>
        <w:gridCol w:w="3240"/>
        <w:gridCol w:w="2415"/>
        <w:gridCol w:w="3000"/>
        <w:tblGridChange w:id="0">
          <w:tblGrid>
            <w:gridCol w:w="3240"/>
            <w:gridCol w:w="2415"/>
            <w:gridCol w:w="3000"/>
          </w:tblGrid>
        </w:tblGridChange>
      </w:tblGrid>
      <w:tr>
        <w:tc>
          <w:tcPr>
            <w:tcBorders>
              <w:top w:color="dddddd" w:space="0" w:sz="6" w:val="single"/>
            </w:tcBorders>
            <w:shd w:fill="efefef"/>
            <w:tcMar>
              <w:top w:w="120.0" w:type="dxa"/>
              <w:left w:w="120.0" w:type="dxa"/>
              <w:bottom w:w="12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O(n)</w:t>
            </w:r>
          </w:p>
        </w:tc>
        <w:tc>
          <w:tcPr>
            <w:tcBorders>
              <w:top w:color="dddddd" w:space="0" w:sz="6" w:val="single"/>
            </w:tcBorders>
            <w:shd w:fill="efefef"/>
            <w:tcMar>
              <w:top w:w="120.0" w:type="dxa"/>
              <w:left w:w="120.0" w:type="dxa"/>
              <w:bottom w:w="12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O(n^2)</w:t>
            </w:r>
          </w:p>
        </w:tc>
        <w:tc>
          <w:tcPr>
            <w:tcBorders>
              <w:top w:color="dddddd" w:space="0" w:sz="6" w:val="single"/>
            </w:tcBorders>
            <w:shd w:fill="efefef"/>
            <w:tcMar>
              <w:top w:w="120.0" w:type="dxa"/>
              <w:left w:w="120.0" w:type="dxa"/>
              <w:bottom w:w="12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O(n^2)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p>
    <w:p w:rsidR="00000000" w:rsidDel="00000000" w:rsidP="00000000" w:rsidRDefault="00000000" w:rsidRPr="00000000">
      <w:pPr>
        <w:ind w:firstLine="720"/>
        <w:contextualSpacing w:val="0"/>
      </w:pPr>
      <w:r w:rsidDel="00000000" w:rsidR="00000000" w:rsidRPr="00000000">
        <w:rPr>
          <w:rtl w:val="0"/>
        </w:rPr>
        <w:t xml:space="preserve">Right away we can deduce from our data that insertion sort performs worst out of the three sorting algorithms we tested. Secondly, we see from our best times that quicksort out performs merge sort on most of our tests, with some exceptions where mergesort is the better performer. The theoretical running times of the various algorithms supports the results. Even though quicksort had the majority of “best times” the mergesort and quicksort times are very close.</w:t>
      </w:r>
      <w:r w:rsidDel="00000000" w:rsidR="00000000" w:rsidRPr="00000000">
        <w:rPr>
          <w:rtl w:val="0"/>
        </w:rPr>
      </w:r>
    </w:p>
    <w:sectPr>
      <w:pgSz w:h="15840" w:w="12240"/>
      <w:pgMar w:bottom="1800" w:top="180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