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36"/>
          <w:szCs w:val="36"/>
        </w:rPr>
        <w:t xml:space="preserve">Building Identification from Mobile LiDAR Data</w:t>
      </w:r>
    </w:p>
    <w:p>
      <w:pPr>
        <w:spacing w:after="200"/>
        <w:jc w:val="center"/>
      </w:pPr>
      <w:r>
        <w:rPr>
          <w:b/>
          <w:bCs/>
          <w:color w:val="2E4F76"/>
          <w:sz w:val="26"/>
          <w:szCs w:val="26"/>
        </w:rPr>
        <w:t xml:space="preserve">Using Deep Learning-Based Segmentation and RANSAC-Based Clustering</w:t>
      </w:r>
    </w:p>
    <w:p>
      <w:pPr>
        <w:spacing w:after="80"/>
        <w:jc w:val="center"/>
      </w:pPr>
      <w:r>
        <w:rPr>
          <w:i/>
          <w:iCs/>
          <w:sz w:val="22"/>
          <w:szCs w:val="22"/>
        </w:rPr>
        <w:t xml:space="preserve">M.Tech Thesis  •  MNNIT Prayagraj  •  Geoinformatics  •  2024–2026</w:t>
      </w:r>
    </w:p>
    <w:p>
      <w:pPr>
        <w:spacing w:after="240"/>
        <w:jc w:val="center"/>
      </w:pPr>
      <w:r>
        <w:rPr>
          <w:i/>
          <w:iCs/>
          <w:color w:val="555555"/>
          <w:sz w:val="22"/>
          <w:szCs w:val="22"/>
        </w:rPr>
        <w:t xml:space="preserve">Industry Relevance:  Smart Cities &amp; Geospatial  •  Autonomous Vehicles &amp; 3D Perception  •  Data Engineering &amp; MLOps</w:t>
      </w:r>
    </w:p>
    <w:p>
      <w:pPr>
        <w:pStyle w:val="Heading1"/>
        <w:spacing w:after="160" w:before="280"/>
      </w:pPr>
      <w:r>
        <w:rPr>
          <w:b/>
          <w:bCs/>
          <w:color w:val="1F3A5F"/>
          <w:sz w:val="30"/>
          <w:szCs w:val="30"/>
        </w:rPr>
        <w:t xml:space="preserve">EXECUTIVE SUMMARY</w:t>
      </w:r>
    </w:p>
    <w:p>
      <w:pPr>
        <w:spacing w:after="120"/>
      </w:pPr>
      <w:r>
        <w:rPr>
          <w:sz w:val="22"/>
          <w:szCs w:val="22"/>
        </w:rPr>
        <w:t xml:space="preserve">This research presents the design and implementation of a production-grade, end-to-end platform for automated building identification from Mobile LiDAR point cloud data. The system integrates cloud-based data engineering, deep learning-based semantic segmentation, RANSAC-based geometric clustering, and MLOps tooling into a unified, reproducible workflow — architected at industry standards for scalability, traceability, and deployment readiness.</w:t>
      </w:r>
    </w:p>
    <w:p>
      <w:pPr>
        <w:spacing w:after="120"/>
      </w:pPr>
      <w:r>
        <w:rPr>
          <w:b/>
          <w:bCs/>
          <w:sz w:val="22"/>
          <w:szCs w:val="22"/>
        </w:rPr>
        <w:t xml:space="preserve">For Smart City &amp; Geospatial Industry: </w:t>
      </w:r>
      <w:r>
        <w:rPr>
          <w:sz w:val="22"/>
          <w:szCs w:val="22"/>
        </w:rPr>
        <w:t xml:space="preserve">The platform delivers automated 3D urban mapping capabilities — extracting building facades, walls, and roof structures from raw Mobile Laser Scanning (MLS) data at city scale. It directly addresses the core challenge of converting unstructured point cloud data into semantically labelled building objects, making it applicable to urban digital twin construction, city planning, cadastral mapping, and infrastructure monitoring workflows.</w:t>
      </w:r>
    </w:p>
    <w:p>
      <w:pPr>
        <w:spacing w:after="120"/>
      </w:pPr>
      <w:r>
        <w:rPr>
          <w:b/>
          <w:bCs/>
          <w:sz w:val="22"/>
          <w:szCs w:val="22"/>
        </w:rPr>
        <w:t xml:space="preserve">For Autonomous Vehicles &amp; 3D Perception: </w:t>
      </w:r>
      <w:r>
        <w:rPr>
          <w:sz w:val="22"/>
          <w:szCs w:val="22"/>
        </w:rPr>
        <w:t xml:space="preserve">The platform implements a full 3D scene-understanding pipeline — processing raw LiDAR sensor data, running deep learning segmentation models (PointNet++, RandLA-Net, PTv3) for point-wise building / non-building classification, and applying geometric post-processing via RANSAC clustering to refine structural outputs. This perception pipeline architecture is directly transferable to AV and robotics systems that process Mobile LiDAR streams in real time.</w:t>
      </w:r>
    </w:p>
    <w:p>
      <w:pPr>
        <w:spacing w:after="120"/>
      </w:pPr>
      <w:r>
        <w:rPr>
          <w:b/>
          <w:bCs/>
          <w:sz w:val="22"/>
          <w:szCs w:val="22"/>
        </w:rPr>
        <w:t xml:space="preserve">For Data Engineering &amp; MLOps Industry: </w:t>
      </w:r>
      <w:r>
        <w:rPr>
          <w:sz w:val="22"/>
          <w:szCs w:val="22"/>
        </w:rPr>
        <w:t xml:space="preserve">The system implements a medallion data lake architecture (bronze → gold layers) on S3-compatible cloud object storage, with Apache Airflow for remote GPU-based pipeline orchestration, MLflow for experiment tracking and model registry, DVC for dataset versioning, and a Python Dash-based control plane for end-to-end workflow management. Every stage of the pipeline is logged, versioned, and traceable from raw upload to final clustered output.</w:t>
      </w:r>
    </w:p>
    <w:p>
      <w:pPr>
        <w:pStyle w:val="Heading1"/>
        <w:spacing w:after="160" w:before="280"/>
      </w:pPr>
      <w:r>
        <w:rPr>
          <w:b/>
          <w:bCs/>
          <w:color w:val="1F3A5F"/>
          <w:sz w:val="30"/>
          <w:szCs w:val="30"/>
        </w:rPr>
        <w:t xml:space="preserve">PLATFORM ARCHITECTURE</w:t>
      </w:r>
    </w:p>
    <w:p>
      <w:pPr>
        <w:spacing w:after="120"/>
      </w:pPr>
      <w:r>
        <w:rPr>
          <w:sz w:val="22"/>
          <w:szCs w:val="22"/>
        </w:rPr>
        <w:t xml:space="preserve">The proposed system is a Python Dash-based centralized data platform designed as an industry-style control plane for the complete Mobile LiDAR building-identification workflow. It supports heterogeneous raw point cloud input formats (.ply, .las, .laz, .pts, .xyz, .txt, .csv) and external semantic label maps (.xml, .json, .yaml, .yml), enabling compatibility with multiple benchmark datasets including Paris-Lille-3D and Toronto-3D.</w:t>
      </w:r>
    </w:p>
    <w:p>
      <w:pPr>
        <w:spacing w:after="80" w:before="160"/>
      </w:pPr>
      <w:r>
        <w:rPr>
          <w:b/>
          <w:bCs/>
          <w:color w:val="2E4F76"/>
          <w:sz w:val="23"/>
          <w:szCs w:val="23"/>
        </w:rPr>
        <w:t xml:space="preserve">Platform Modules</w:t>
      </w:r>
    </w:p>
    <w:p>
      <w:pPr>
        <w:pStyle w:val="ListParagraph"/>
        <w:numPr>
          <w:ilvl w:val="0"/>
          <w:numId w:val="2"/>
        </w:numPr>
        <w:spacing w:after="80"/>
      </w:pPr>
      <w:r>
        <w:rPr>
          <w:b/>
          <w:bCs/>
          <w:sz w:val="22"/>
          <w:szCs w:val="22"/>
        </w:rPr>
        <w:t xml:space="preserve">Data Explorer</w:t>
      </w:r>
      <w:r>
        <w:rPr>
          <w:sz w:val="22"/>
          <w:szCs w:val="22"/>
        </w:rPr>
        <w:t xml:space="preserve"> — raw point cloud ingestion, dataset registration, metadata extraction, class-distribution analytics, and preprocessing readiness validation.</w:t>
      </w:r>
    </w:p>
    <w:p>
      <w:pPr>
        <w:pStyle w:val="ListParagraph"/>
        <w:numPr>
          <w:ilvl w:val="0"/>
          <w:numId w:val="2"/>
        </w:numPr>
        <w:spacing w:after="80"/>
      </w:pPr>
      <w:r>
        <w:rPr>
          <w:b/>
          <w:bCs/>
          <w:sz w:val="22"/>
          <w:szCs w:val="22"/>
        </w:rPr>
        <w:t xml:space="preserve">Preprocessing Control</w:t>
      </w:r>
      <w:r>
        <w:rPr>
          <w:sz w:val="22"/>
          <w:szCs w:val="22"/>
        </w:rPr>
        <w:t xml:space="preserve"> — Airflow DAG submission to remote GPU-enabled compute systems for standardized deep learning data preparation.</w:t>
      </w:r>
    </w:p>
    <w:p>
      <w:pPr>
        <w:pStyle w:val="ListParagraph"/>
        <w:numPr>
          <w:ilvl w:val="0"/>
          <w:numId w:val="2"/>
        </w:numPr>
        <w:spacing w:after="80"/>
      </w:pPr>
      <w:r>
        <w:rPr>
          <w:b/>
          <w:bCs/>
          <w:sz w:val="22"/>
          <w:szCs w:val="22"/>
        </w:rPr>
        <w:t xml:space="preserve">Training Control</w:t>
      </w:r>
      <w:r>
        <w:rPr>
          <w:sz w:val="22"/>
          <w:szCs w:val="22"/>
        </w:rPr>
        <w:t xml:space="preserve"> — model selection, hyperparameter configuration, GPU system targeting, and training job submission for 4 segmentation architectures.</w:t>
      </w:r>
    </w:p>
    <w:p>
      <w:pPr>
        <w:pStyle w:val="ListParagraph"/>
        <w:numPr>
          <w:ilvl w:val="0"/>
          <w:numId w:val="2"/>
        </w:numPr>
        <w:spacing w:after="80"/>
      </w:pPr>
      <w:r>
        <w:rPr>
          <w:b/>
          <w:bCs/>
          <w:sz w:val="22"/>
          <w:szCs w:val="22"/>
        </w:rPr>
        <w:t xml:space="preserve">Experiment Tracking</w:t>
      </w:r>
      <w:r>
        <w:rPr>
          <w:sz w:val="22"/>
          <w:szCs w:val="22"/>
        </w:rPr>
        <w:t xml:space="preserve"> — MLflow integration for metric logging, model artifact storage, confusion matrices, and loss curve monitoring across all training runs.</w:t>
      </w:r>
    </w:p>
    <w:p>
      <w:pPr>
        <w:pStyle w:val="ListParagraph"/>
        <w:numPr>
          <w:ilvl w:val="0"/>
          <w:numId w:val="2"/>
        </w:numPr>
        <w:spacing w:after="80"/>
      </w:pPr>
      <w:r>
        <w:rPr>
          <w:b/>
          <w:bCs/>
          <w:sz w:val="22"/>
          <w:szCs w:val="22"/>
        </w:rPr>
        <w:t xml:space="preserve">Data Versioning</w:t>
      </w:r>
      <w:r>
        <w:rPr>
          <w:sz w:val="22"/>
          <w:szCs w:val="22"/>
        </w:rPr>
        <w:t xml:space="preserve"> — DVC-based tracking of preprocessing versions, model-ready datasets, and experiment inputs for full reproducibility.</w:t>
      </w:r>
    </w:p>
    <w:p>
      <w:pPr>
        <w:pStyle w:val="ListParagraph"/>
        <w:numPr>
          <w:ilvl w:val="0"/>
          <w:numId w:val="2"/>
        </w:numPr>
        <w:spacing w:after="80"/>
      </w:pPr>
      <w:r>
        <w:rPr>
          <w:b/>
          <w:bCs/>
          <w:sz w:val="22"/>
          <w:szCs w:val="22"/>
        </w:rPr>
        <w:t xml:space="preserve">Segmentation Output Management</w:t>
      </w:r>
      <w:r>
        <w:rPr>
          <w:sz w:val="22"/>
          <w:szCs w:val="22"/>
        </w:rPr>
        <w:t xml:space="preserve"> — structured storage and retrieval of point-wise model predictions per dataset, preprocessing version, model, and run ID.</w:t>
      </w:r>
    </w:p>
    <w:p>
      <w:pPr>
        <w:pStyle w:val="ListParagraph"/>
        <w:numPr>
          <w:ilvl w:val="0"/>
          <w:numId w:val="2"/>
        </w:numPr>
        <w:spacing w:after="80"/>
      </w:pPr>
      <w:r>
        <w:rPr>
          <w:b/>
          <w:bCs/>
          <w:sz w:val="22"/>
          <w:szCs w:val="22"/>
        </w:rPr>
        <w:t xml:space="preserve">RANSAC-Based Clustering</w:t>
      </w:r>
      <w:r>
        <w:rPr>
          <w:sz w:val="22"/>
          <w:szCs w:val="22"/>
        </w:rPr>
        <w:t xml:space="preserve"> — geometric post-processing of segmented building points for structured building-object extraction and noise reduction.</w:t>
      </w:r>
    </w:p>
    <w:p>
      <w:pPr>
        <w:pStyle w:val="ListParagraph"/>
        <w:numPr>
          <w:ilvl w:val="0"/>
          <w:numId w:val="2"/>
        </w:numPr>
        <w:spacing w:after="80"/>
      </w:pPr>
      <w:r>
        <w:rPr>
          <w:b/>
          <w:bCs/>
          <w:sz w:val="22"/>
          <w:szCs w:val="22"/>
        </w:rPr>
        <w:t xml:space="preserve">Rerun.io Visualization</w:t>
      </w:r>
      <w:r>
        <w:rPr>
          <w:sz w:val="22"/>
          <w:szCs w:val="22"/>
        </w:rPr>
        <w:t xml:space="preserve"> — interactive 3D rendering of raw data, semantic labels, model predictions, and clustered building outputs across multiple view modes.</w:t>
      </w:r>
    </w:p>
    <w:p>
      <w:pPr>
        <w:pStyle w:val="ListParagraph"/>
        <w:numPr>
          <w:ilvl w:val="0"/>
          <w:numId w:val="2"/>
        </w:numPr>
        <w:spacing w:after="80"/>
      </w:pPr>
      <w:r>
        <w:rPr>
          <w:b/>
          <w:bCs/>
          <w:sz w:val="22"/>
          <w:szCs w:val="22"/>
        </w:rPr>
        <w:t xml:space="preserve">Comparative Evaluation</w:t>
      </w:r>
      <w:r>
        <w:rPr>
          <w:sz w:val="22"/>
          <w:szCs w:val="22"/>
        </w:rPr>
        <w:t xml:space="preserve"> — quantitative and qualitative benchmarking across all deep learning models and clustering outputs.</w:t>
      </w:r>
    </w:p>
    <w:p>
      <w:pPr>
        <w:pStyle w:val="Heading1"/>
        <w:spacing w:after="160" w:before="280"/>
      </w:pPr>
      <w:r>
        <w:rPr>
          <w:b/>
          <w:bCs/>
          <w:color w:val="1F3A5F"/>
          <w:sz w:val="30"/>
          <w:szCs w:val="30"/>
        </w:rPr>
        <w:t xml:space="preserve">CLOUD STORAGE &amp; DATA LAYER ARCHITECTURE</w:t>
      </w:r>
    </w:p>
    <w:p>
      <w:pPr>
        <w:spacing w:after="120"/>
      </w:pPr>
      <w:r>
        <w:rPr>
          <w:sz w:val="22"/>
          <w:szCs w:val="22"/>
        </w:rPr>
        <w:t xml:space="preserve">The platform implements a </w:t>
      </w:r>
      <w:r>
        <w:rPr>
          <w:b/>
          <w:bCs/>
          <w:sz w:val="22"/>
          <w:szCs w:val="22"/>
        </w:rPr>
        <w:t xml:space="preserve">medallion data lake architecture</w:t>
      </w:r>
      <w:r>
        <w:rPr>
          <w:sz w:val="22"/>
          <w:szCs w:val="22"/>
        </w:rPr>
        <w:t xml:space="preserve"> on Backblaze B2 cloud object storage, with clearly separated layers for raw ingestion, model-ready data, inference outputs, and operational logs. This architecture ensures data lineage, separation of concerns, and production-grade traceability across the full pipeline.</w:t>
      </w:r>
    </w:p>
    <w:p>
      <w:pPr>
        <w:spacing w:after="120"/>
      </w:pPr>
      <w:r>
        <w:rPr>
          <w:b/>
          <w:bCs/>
          <w:sz w:val="22"/>
          <w:szCs w:val="22"/>
        </w:rPr>
        <w:t xml:space="preserve">Cloud-Portability Note: </w:t>
      </w:r>
      <w:r>
        <w:rPr>
          <w:sz w:val="22"/>
          <w:szCs w:val="22"/>
        </w:rPr>
        <w:t xml:space="preserve">Backblaze B2 was selected for cost-effective academic use, but it exposes an S3-compatible API and is accessed exclusively through abstracted storage clients in the codebase. The medallion layout, bucket boundaries, and access patterns are fully portable — migration to AWS S3, Azure Blob Storage, or Google Cloud Storage requires only configuration changes, not architectural changes. The same design pattern accommodates a Delta Lake or Apache Iceberg table layer at the gold tier when production-grade ACID transactions and time-travel queries are required.</w:t>
      </w:r>
    </w:p>
    <w:p>
      <w:pPr>
        <w:spacing w:after="80" w:before="160"/>
      </w:pPr>
      <w:r>
        <w:rPr>
          <w:b/>
          <w:bCs/>
          <w:color w:val="2E4F76"/>
          <w:sz w:val="23"/>
          <w:szCs w:val="23"/>
        </w:rPr>
        <w:t xml:space="preserve">Bucket Structure</w:t>
      </w:r>
    </w:p>
    <w:p>
      <w:pPr>
        <w:pStyle w:val="ListParagraph"/>
        <w:numPr>
          <w:ilvl w:val="0"/>
          <w:numId w:val="2"/>
        </w:numPr>
        <w:spacing w:after="80"/>
      </w:pPr>
      <w:r>
        <w:rPr>
          <w:b/>
          <w:bCs/>
          <w:sz w:val="22"/>
          <w:szCs w:val="22"/>
        </w:rPr>
        <w:t xml:space="preserve">bronze_raw_data/</w:t>
      </w:r>
      <w:r>
        <w:rPr>
          <w:sz w:val="22"/>
          <w:szCs w:val="22"/>
        </w:rPr>
        <w:t xml:space="preserve"> — Source-of-truth layer. Stores original raw Mobile LiDAR point cloud tiles and semantic label maps as uploaded. Includes upload manifests and SHA-256 checksum verification files for data integrity.</w:t>
      </w:r>
    </w:p>
    <w:p>
      <w:pPr>
        <w:pStyle w:val="ListParagraph"/>
        <w:numPr>
          <w:ilvl w:val="0"/>
          <w:numId w:val="2"/>
        </w:numPr>
        <w:spacing w:after="80"/>
      </w:pPr>
      <w:r>
        <w:rPr>
          <w:b/>
          <w:bCs/>
          <w:sz w:val="22"/>
          <w:szCs w:val="22"/>
        </w:rPr>
        <w:t xml:space="preserve">metadata/</w:t>
      </w:r>
      <w:r>
        <w:rPr>
          <w:sz w:val="22"/>
          <w:szCs w:val="22"/>
        </w:rPr>
        <w:t xml:space="preserve"> — JSON-format dataset registry. Captures point count, available attributes (XYZ, intensity, RGB, semantic labels), coordinate bounds, point density, label-map linkage, and preprocessing readiness flags.</w:t>
      </w:r>
    </w:p>
    <w:p>
      <w:pPr>
        <w:pStyle w:val="ListParagraph"/>
        <w:numPr>
          <w:ilvl w:val="0"/>
          <w:numId w:val="2"/>
        </w:numPr>
        <w:spacing w:after="80"/>
      </w:pPr>
      <w:r>
        <w:rPr>
          <w:b/>
          <w:bCs/>
          <w:sz w:val="22"/>
          <w:szCs w:val="22"/>
        </w:rPr>
        <w:t xml:space="preserve">metadata_analytics/</w:t>
      </w:r>
      <w:r>
        <w:rPr>
          <w:sz w:val="22"/>
          <w:szCs w:val="22"/>
        </w:rPr>
        <w:t xml:space="preserve"> — Parquet-format analytical summaries extracted from raw data. Powers dashboard KPIs, class-distribution pie charts, spatial summary plots, and data quality reports — without re-reading raw files.</w:t>
      </w:r>
    </w:p>
    <w:p>
      <w:pPr>
        <w:pStyle w:val="ListParagraph"/>
        <w:numPr>
          <w:ilvl w:val="0"/>
          <w:numId w:val="2"/>
        </w:numPr>
        <w:spacing w:after="80"/>
      </w:pPr>
      <w:r>
        <w:rPr>
          <w:b/>
          <w:bCs/>
          <w:sz w:val="22"/>
          <w:szCs w:val="22"/>
        </w:rPr>
        <w:t xml:space="preserve">gold_model_ready_data/</w:t>
      </w:r>
      <w:r>
        <w:rPr>
          <w:sz w:val="22"/>
          <w:szCs w:val="22"/>
        </w:rPr>
        <w:t xml:space="preserve"> — Final preprocessed, deep learning-ready data. Versioned by dataset ID and preprocessing version. Serves as the input layer for all model training and inference jobs.</w:t>
      </w:r>
    </w:p>
    <w:p>
      <w:pPr>
        <w:pStyle w:val="ListParagraph"/>
        <w:numPr>
          <w:ilvl w:val="0"/>
          <w:numId w:val="2"/>
        </w:numPr>
        <w:spacing w:after="80"/>
      </w:pPr>
      <w:r>
        <w:rPr>
          <w:b/>
          <w:bCs/>
          <w:sz w:val="22"/>
          <w:szCs w:val="22"/>
        </w:rPr>
        <w:t xml:space="preserve">inference_ready_data/</w:t>
      </w:r>
      <w:r>
        <w:rPr>
          <w:sz w:val="22"/>
          <w:szCs w:val="22"/>
        </w:rPr>
        <w:t xml:space="preserve"> — Dedicated layer for tiles or datasets prepared for applying trained models to new, unseen MLS data — supporting production deployment scenarios.</w:t>
      </w:r>
    </w:p>
    <w:p>
      <w:pPr>
        <w:pStyle w:val="ListParagraph"/>
        <w:numPr>
          <w:ilvl w:val="0"/>
          <w:numId w:val="2"/>
        </w:numPr>
        <w:spacing w:after="80"/>
      </w:pPr>
      <w:r>
        <w:rPr>
          <w:b/>
          <w:bCs/>
          <w:sz w:val="22"/>
          <w:szCs w:val="22"/>
        </w:rPr>
        <w:t xml:space="preserve">segmentation_outputs/</w:t>
      </w:r>
      <w:r>
        <w:rPr>
          <w:sz w:val="22"/>
          <w:szCs w:val="22"/>
        </w:rPr>
        <w:t xml:space="preserve"> — Point-wise prediction results from each deep learning model, organized by dataset / prep version / model / run ID for precise result traceability.</w:t>
      </w:r>
    </w:p>
    <w:p>
      <w:pPr>
        <w:pStyle w:val="ListParagraph"/>
        <w:numPr>
          <w:ilvl w:val="0"/>
          <w:numId w:val="2"/>
        </w:numPr>
        <w:spacing w:after="80"/>
      </w:pPr>
      <w:r>
        <w:rPr>
          <w:b/>
          <w:bCs/>
          <w:sz w:val="22"/>
          <w:szCs w:val="22"/>
        </w:rPr>
        <w:t xml:space="preserve">clustered_final_outputs/</w:t>
      </w:r>
      <w:r>
        <w:rPr>
          <w:sz w:val="22"/>
          <w:szCs w:val="22"/>
        </w:rPr>
        <w:t xml:space="preserve"> — Refined building objects produced by RANSAC-based clustering, stored per model run for comparative post-processing analysis.</w:t>
      </w:r>
    </w:p>
    <w:p>
      <w:pPr>
        <w:pStyle w:val="ListParagraph"/>
        <w:numPr>
          <w:ilvl w:val="0"/>
          <w:numId w:val="2"/>
        </w:numPr>
        <w:spacing w:after="80"/>
      </w:pPr>
      <w:r>
        <w:rPr>
          <w:b/>
          <w:bCs/>
          <w:sz w:val="22"/>
          <w:szCs w:val="22"/>
        </w:rPr>
        <w:t xml:space="preserve">logs/</w:t>
      </w:r>
      <w:r>
        <w:rPr>
          <w:sz w:val="22"/>
          <w:szCs w:val="22"/>
        </w:rPr>
        <w:t xml:space="preserve"> — Operational logs covering upload, preprocessing, training, inference, clustering, and pipeline execution events.</w:t>
      </w:r>
    </w:p>
    <w:p>
      <w:pPr>
        <w:pStyle w:val="Heading1"/>
        <w:spacing w:after="160" w:before="280"/>
      </w:pPr>
      <w:r>
        <w:rPr>
          <w:b/>
          <w:bCs/>
          <w:color w:val="1F3A5F"/>
          <w:sz w:val="30"/>
          <w:szCs w:val="30"/>
        </w:rPr>
        <w:t xml:space="preserve">END-TO-END DATA &amp; ML PIPELINE</w:t>
      </w:r>
    </w:p>
    <w:p>
      <w:pPr>
        <w:spacing w:after="120"/>
      </w:pPr>
      <w:r>
        <w:rPr>
          <w:sz w:val="22"/>
          <w:szCs w:val="22"/>
        </w:rPr>
        <w:t xml:space="preserve">The platform implements an industry-aligned data engineering and MLOps pipeline. Each stage is automated, versioned, and traceable, following the same architectural patterns used in production data platforms at scale.</w:t>
      </w:r>
    </w:p>
    <w:p>
      <w:pPr>
        <w:spacing w:after="80"/>
      </w:pPr>
      <w:r>
        <w:rPr>
          <w:b/>
          <w:bCs/>
          <w:sz w:val="22"/>
          <w:szCs w:val="22"/>
        </w:rPr>
        <w:t xml:space="preserve">Stage 1 — Raw MLS Upload</w:t>
      </w:r>
      <w:r>
        <w:rPr>
          <w:sz w:val="22"/>
          <w:szCs w:val="22"/>
        </w:rPr>
        <w:t xml:space="preserve">  —  Point cloud tiles and label maps uploaded via the Data Explorer UI. SHA-256 checksum and upload manifest generated automatically for integrity verification.</w:t>
      </w:r>
    </w:p>
    <w:p>
      <w:pPr>
        <w:spacing w:after="40" w:before="40"/>
        <w:jc w:val="center"/>
      </w:pPr>
      <w:r>
        <w:rPr>
          <w:color w:val="888888"/>
          <w:sz w:val="24"/>
          <w:szCs w:val="24"/>
        </w:rPr>
        <w:t xml:space="preserve">↓</w:t>
      </w:r>
    </w:p>
    <w:p>
      <w:pPr>
        <w:spacing w:after="80"/>
      </w:pPr>
      <w:r>
        <w:rPr>
          <w:b/>
          <w:bCs/>
          <w:sz w:val="22"/>
          <w:szCs w:val="22"/>
        </w:rPr>
        <w:t xml:space="preserve">Stage 2 — Metadata Extraction</w:t>
      </w:r>
      <w:r>
        <w:rPr>
          <w:sz w:val="22"/>
          <w:szCs w:val="22"/>
        </w:rPr>
        <w:t xml:space="preserve">  —  Real metadata extracted from raw files: point count, attribute availability, semantic class distribution, coordinate bounds, and preprocessing readiness. Stored as JSON (registry) and Parquet (analytics dashboard).</w:t>
      </w:r>
    </w:p>
    <w:p>
      <w:pPr>
        <w:spacing w:after="40" w:before="40"/>
        <w:jc w:val="center"/>
      </w:pPr>
      <w:r>
        <w:rPr>
          <w:color w:val="888888"/>
          <w:sz w:val="24"/>
          <w:szCs w:val="24"/>
        </w:rPr>
        <w:t xml:space="preserve">↓</w:t>
      </w:r>
    </w:p>
    <w:p>
      <w:pPr>
        <w:spacing w:after="80"/>
      </w:pPr>
      <w:r>
        <w:rPr>
          <w:b/>
          <w:bCs/>
          <w:sz w:val="22"/>
          <w:szCs w:val="22"/>
        </w:rPr>
        <w:t xml:space="preserve">Stage 3 — Airflow-Orchestrated Preprocessing</w:t>
      </w:r>
      <w:r>
        <w:rPr>
          <w:sz w:val="22"/>
          <w:szCs w:val="22"/>
        </w:rPr>
        <w:t xml:space="preserve">  —  Preprocessing DAG submitted from the UI to Apache Airflow, which executes the script on a remote, high-configuration GPU system — keeping the dashboard machine stateless and lightweight. Outputs written to gold_model_ready_data/.</w:t>
      </w:r>
    </w:p>
    <w:p>
      <w:pPr>
        <w:spacing w:after="40" w:before="40"/>
        <w:jc w:val="center"/>
      </w:pPr>
      <w:r>
        <w:rPr>
          <w:color w:val="888888"/>
          <w:sz w:val="24"/>
          <w:szCs w:val="24"/>
        </w:rPr>
        <w:t xml:space="preserve">↓</w:t>
      </w:r>
    </w:p>
    <w:p>
      <w:pPr>
        <w:spacing w:after="80"/>
      </w:pPr>
      <w:r>
        <w:rPr>
          <w:b/>
          <w:bCs/>
          <w:sz w:val="22"/>
          <w:szCs w:val="22"/>
        </w:rPr>
        <w:t xml:space="preserve">Stage 4 — Deep Learning Model Training</w:t>
      </w:r>
      <w:r>
        <w:rPr>
          <w:sz w:val="22"/>
          <w:szCs w:val="22"/>
        </w:rPr>
        <w:t xml:space="preserve">  —  Four segmentation architectures trained on preprocessed data for binary building / non-building point classification. MLflow logs all parameters, metrics, and artifacts. DVC tracks dataset and model versions.</w:t>
      </w:r>
    </w:p>
    <w:p>
      <w:pPr>
        <w:spacing w:after="40" w:before="40"/>
        <w:jc w:val="center"/>
      </w:pPr>
      <w:r>
        <w:rPr>
          <w:color w:val="888888"/>
          <w:sz w:val="24"/>
          <w:szCs w:val="24"/>
        </w:rPr>
        <w:t xml:space="preserve">↓</w:t>
      </w:r>
    </w:p>
    <w:p>
      <w:pPr>
        <w:spacing w:after="80"/>
      </w:pPr>
      <w:r>
        <w:rPr>
          <w:b/>
          <w:bCs/>
          <w:sz w:val="22"/>
          <w:szCs w:val="22"/>
        </w:rPr>
        <w:t xml:space="preserve">Stage 5 — Segmentation Output Storage</w:t>
      </w:r>
      <w:r>
        <w:rPr>
          <w:sz w:val="22"/>
          <w:szCs w:val="22"/>
        </w:rPr>
        <w:t xml:space="preserve">  —  Point-wise predictions from each model stored in structured paths: segmentation_outputs/&lt;dataset&gt;/&lt;prep_version&gt;/&lt;model&gt;/&lt;run_id&gt;/</w:t>
      </w:r>
    </w:p>
    <w:p>
      <w:pPr>
        <w:spacing w:after="40" w:before="40"/>
        <w:jc w:val="center"/>
      </w:pPr>
      <w:r>
        <w:rPr>
          <w:color w:val="888888"/>
          <w:sz w:val="24"/>
          <w:szCs w:val="24"/>
        </w:rPr>
        <w:t xml:space="preserve">↓</w:t>
      </w:r>
    </w:p>
    <w:p>
      <w:pPr>
        <w:spacing w:after="80"/>
      </w:pPr>
      <w:r>
        <w:rPr>
          <w:b/>
          <w:bCs/>
          <w:sz w:val="22"/>
          <w:szCs w:val="22"/>
        </w:rPr>
        <w:t xml:space="preserve">Stage 6 — RANSAC-Based Clustering</w:t>
      </w:r>
      <w:r>
        <w:rPr>
          <w:sz w:val="22"/>
          <w:szCs w:val="22"/>
        </w:rPr>
        <w:t xml:space="preserve">  —  Segmented building points passed through RANSAC-based geometric clustering for structured building-object extraction, noise reduction, and surface separation refinement.</w:t>
      </w:r>
    </w:p>
    <w:p>
      <w:pPr>
        <w:spacing w:after="40" w:before="40"/>
        <w:jc w:val="center"/>
      </w:pPr>
      <w:r>
        <w:rPr>
          <w:color w:val="888888"/>
          <w:sz w:val="24"/>
          <w:szCs w:val="24"/>
        </w:rPr>
        <w:t xml:space="preserve">↓</w:t>
      </w:r>
    </w:p>
    <w:p>
      <w:pPr>
        <w:spacing w:after="80"/>
      </w:pPr>
      <w:r>
        <w:rPr>
          <w:b/>
          <w:bCs/>
          <w:sz w:val="22"/>
          <w:szCs w:val="22"/>
        </w:rPr>
        <w:t xml:space="preserve">Stage 7 — 3D Visualization (Rerun.io)</w:t>
      </w:r>
      <w:r>
        <w:rPr>
          <w:sz w:val="22"/>
          <w:szCs w:val="22"/>
        </w:rPr>
        <w:t xml:space="preserve">  —  Interactive visualization of raw data, semantic labels, model predictions, and clustered building outputs across RGB, height, intensity, semantic, binary, prediction, and cluster view modes.</w:t>
      </w:r>
    </w:p>
    <w:p>
      <w:pPr>
        <w:spacing w:after="40" w:before="40"/>
        <w:jc w:val="center"/>
      </w:pPr>
      <w:r>
        <w:rPr>
          <w:color w:val="888888"/>
          <w:sz w:val="24"/>
          <w:szCs w:val="24"/>
        </w:rPr>
        <w:t xml:space="preserve">↓</w:t>
      </w:r>
    </w:p>
    <w:p>
      <w:pPr>
        <w:spacing w:after="80"/>
      </w:pPr>
      <w:r>
        <w:rPr>
          <w:b/>
          <w:bCs/>
          <w:sz w:val="22"/>
          <w:szCs w:val="22"/>
        </w:rPr>
        <w:t xml:space="preserve">Stage 8 — Comparative Evaluation</w:t>
      </w:r>
      <w:r>
        <w:rPr>
          <w:sz w:val="22"/>
          <w:szCs w:val="22"/>
        </w:rPr>
        <w:t xml:space="preserve">  —  Quantitative benchmarking (Accuracy, Precision, Recall, F1, IoU, MIoU, inference time) and qualitative assessment across all 4 models and their corresponding RANSAC clustering outputs.</w:t>
      </w:r>
    </w:p>
    <w:p>
      <w:pPr>
        <w:pStyle w:val="Heading1"/>
        <w:spacing w:after="160" w:before="280"/>
      </w:pPr>
      <w:r>
        <w:rPr>
          <w:b/>
          <w:bCs/>
          <w:color w:val="1F3A5F"/>
          <w:sz w:val="30"/>
          <w:szCs w:val="30"/>
        </w:rPr>
        <w:t xml:space="preserve">DEEP LEARNING SEGMENTATION — MODEL ARCHITECTURE &amp; EVALUATION</w:t>
      </w:r>
    </w:p>
    <w:p>
      <w:pPr>
        <w:spacing w:after="120"/>
      </w:pPr>
      <w:r>
        <w:rPr>
          <w:sz w:val="22"/>
          <w:szCs w:val="22"/>
        </w:rPr>
        <w:t xml:space="preserve">Four state-of-the-art 3D point cloud segmentation architectures are trained and benchmarked for binary building / non-building classification on Mobile LiDAR data. Each model is evaluated under controlled, reproducible conditions using consistent preprocessing versions, training configurations, and evaluation metrics.</w:t>
      </w:r>
    </w:p>
    <w:p>
      <w:pPr>
        <w:spacing w:after="80" w:before="160"/>
      </w:pPr>
      <w:r>
        <w:rPr>
          <w:b/>
          <w:bCs/>
          <w:color w:val="2E4F76"/>
          <w:sz w:val="23"/>
          <w:szCs w:val="23"/>
        </w:rPr>
        <w:t xml:space="preserve">Segmentation Models</w:t>
      </w:r>
    </w:p>
    <w:p>
      <w:pPr>
        <w:pStyle w:val="ListParagraph"/>
        <w:numPr>
          <w:ilvl w:val="0"/>
          <w:numId w:val="2"/>
        </w:numPr>
        <w:spacing w:after="80"/>
      </w:pPr>
      <w:r>
        <w:rPr>
          <w:b/>
          <w:bCs/>
          <w:sz w:val="22"/>
          <w:szCs w:val="22"/>
        </w:rPr>
        <w:t xml:space="preserve">PointNet++</w:t>
      </w:r>
      <w:r>
        <w:rPr>
          <w:sz w:val="22"/>
          <w:szCs w:val="22"/>
        </w:rPr>
        <w:t xml:space="preserve"> — Hierarchical point set learning with local feature aggregation. Foundational architecture for 3D point cloud deep learning.</w:t>
      </w:r>
    </w:p>
    <w:p>
      <w:pPr>
        <w:pStyle w:val="ListParagraph"/>
        <w:numPr>
          <w:ilvl w:val="0"/>
          <w:numId w:val="2"/>
        </w:numPr>
        <w:spacing w:after="80"/>
      </w:pPr>
      <w:r>
        <w:rPr>
          <w:b/>
          <w:bCs/>
          <w:sz w:val="22"/>
          <w:szCs w:val="22"/>
        </w:rPr>
        <w:t xml:space="preserve">PointNet++ MSG (Multi-Scale Grouping)</w:t>
      </w:r>
      <w:r>
        <w:rPr>
          <w:sz w:val="22"/>
          <w:szCs w:val="22"/>
        </w:rPr>
        <w:t xml:space="preserve"> — Enhanced variant capturing multi-scale local geometry for improved performance on sparse and non-uniform point distributions characteristic of Mobile LiDAR data.</w:t>
      </w:r>
    </w:p>
    <w:p>
      <w:pPr>
        <w:pStyle w:val="ListParagraph"/>
        <w:numPr>
          <w:ilvl w:val="0"/>
          <w:numId w:val="2"/>
        </w:numPr>
        <w:spacing w:after="80"/>
      </w:pPr>
      <w:r>
        <w:rPr>
          <w:b/>
          <w:bCs/>
          <w:sz w:val="22"/>
          <w:szCs w:val="22"/>
        </w:rPr>
        <w:t xml:space="preserve">RandLA-Net</w:t>
      </w:r>
      <w:r>
        <w:rPr>
          <w:sz w:val="22"/>
          <w:szCs w:val="22"/>
        </w:rPr>
        <w:t xml:space="preserve"> — Efficient large-scale point cloud segmentation using random point sampling and local feature aggregation. Designed specifically for large outdoor LiDAR datasets.</w:t>
      </w:r>
    </w:p>
    <w:p>
      <w:pPr>
        <w:pStyle w:val="ListParagraph"/>
        <w:numPr>
          <w:ilvl w:val="0"/>
          <w:numId w:val="2"/>
        </w:numPr>
        <w:spacing w:after="80"/>
      </w:pPr>
      <w:r>
        <w:rPr>
          <w:b/>
          <w:bCs/>
          <w:sz w:val="22"/>
          <w:szCs w:val="22"/>
        </w:rPr>
        <w:t xml:space="preserve">PTv3 / Point Transformer v3</w:t>
      </w:r>
      <w:r>
        <w:rPr>
          <w:sz w:val="22"/>
          <w:szCs w:val="22"/>
        </w:rPr>
        <w:t xml:space="preserve"> — Transformer-based architecture applying self-attention across 3D point neighbourhoods. State-of-the-art on multiple outdoor segmentation benchmarks.</w:t>
      </w:r>
    </w:p>
    <w:p>
      <w:pPr>
        <w:spacing w:after="80" w:before="160"/>
      </w:pPr>
      <w:r>
        <w:rPr>
          <w:b/>
          <w:bCs/>
          <w:color w:val="2E4F76"/>
          <w:sz w:val="23"/>
          <w:szCs w:val="23"/>
        </w:rPr>
        <w:t xml:space="preserve">Training Infrastructure &amp; Configuration</w:t>
      </w:r>
    </w:p>
    <w:p>
      <w:pPr>
        <w:spacing w:after="120"/>
      </w:pPr>
      <w:r>
        <w:rPr>
          <w:sz w:val="22"/>
          <w:szCs w:val="22"/>
        </w:rPr>
        <w:t xml:space="preserve">All training jobs are submitted from the dashboard control plane and executed on remote GPU-enabled compute via Apache Airflow, decoupling the UI from heavy compute workloads. The training environment is parameterized through configuration so that GPU type, batch size, learning rate, optimizer, scheduler, number of epochs, point sampling strategy, and augmentation policy can be varied per run without code changes. Mixed-precision training is supported where the model architecture permits, and per-run configuration snapshots are persisted alongside MLflow artifacts to guarantee that any historical run can be re-executed bit-for-bit.</w:t>
      </w:r>
    </w:p>
    <w:p>
      <w:pPr>
        <w:spacing w:after="80" w:before="160"/>
      </w:pPr>
      <w:r>
        <w:rPr>
          <w:b/>
          <w:bCs/>
          <w:color w:val="2E4F76"/>
          <w:sz w:val="23"/>
          <w:szCs w:val="23"/>
        </w:rPr>
        <w:t xml:space="preserve">Evaluation Metrics</w:t>
      </w:r>
    </w:p>
    <w:p>
      <w:pPr>
        <w:pStyle w:val="ListParagraph"/>
        <w:numPr>
          <w:ilvl w:val="0"/>
          <w:numId w:val="2"/>
        </w:numPr>
        <w:spacing w:after="80"/>
      </w:pPr>
      <w:r>
        <w:rPr>
          <w:b/>
          <w:bCs/>
          <w:sz w:val="22"/>
          <w:szCs w:val="22"/>
        </w:rPr>
        <w:t xml:space="preserve">Segmentation</w:t>
      </w:r>
      <w:r>
        <w:rPr>
          <w:sz w:val="22"/>
          <w:szCs w:val="22"/>
        </w:rPr>
        <w:t xml:space="preserve"> — Overall Accuracy, Precision, Recall, F1-score, Intersection over Union (IoU), Mean IoU, Building-class IoU, training / validation loss curves, and inference time.</w:t>
      </w:r>
    </w:p>
    <w:p>
      <w:pPr>
        <w:pStyle w:val="ListParagraph"/>
        <w:numPr>
          <w:ilvl w:val="0"/>
          <w:numId w:val="2"/>
        </w:numPr>
        <w:spacing w:after="80"/>
      </w:pPr>
      <w:r>
        <w:rPr>
          <w:b/>
          <w:bCs/>
          <w:sz w:val="22"/>
          <w:szCs w:val="22"/>
        </w:rPr>
        <w:t xml:space="preserve">Clustering</w:t>
      </w:r>
      <w:r>
        <w:rPr>
          <w:sz w:val="22"/>
          <w:szCs w:val="22"/>
        </w:rPr>
        <w:t xml:space="preserve"> — Number of extracted building clusters, noise reduction after RANSAC, cluster completeness, compactness, building surface separation quality, and tile-wise qualitative assessment.</w:t>
      </w:r>
    </w:p>
    <w:p>
      <w:pPr>
        <w:spacing w:after="120"/>
      </w:pPr>
      <w:r>
        <w:rPr>
          <w:sz w:val="22"/>
          <w:szCs w:val="22"/>
        </w:rPr>
        <w:t xml:space="preserve">The benchmark dataset is Paris-Lille-3D, a large-scale Mobile LiDAR dataset consisting of 100M+ 3D points collected across urban environments. The achieved segmentation accuracy is 92.82% on the benchmark evaluation set.</w:t>
      </w:r>
    </w:p>
    <w:p>
      <w:pPr>
        <w:pStyle w:val="Heading1"/>
        <w:spacing w:after="160" w:before="280"/>
      </w:pPr>
      <w:r>
        <w:rPr>
          <w:b/>
          <w:bCs/>
          <w:color w:val="1F3A5F"/>
          <w:sz w:val="30"/>
          <w:szCs w:val="30"/>
        </w:rPr>
        <w:t xml:space="preserve">MLOPS INTEGRATION</w:t>
      </w:r>
    </w:p>
    <w:p>
      <w:pPr>
        <w:spacing w:after="120"/>
      </w:pPr>
      <w:r>
        <w:rPr>
          <w:sz w:val="22"/>
          <w:szCs w:val="22"/>
        </w:rPr>
        <w:t xml:space="preserve">The platform adopts an MLOps-first design philosophy. All pipeline stages — preprocessing, training, evaluation, and clustering — are orchestrated, tracked, and versioned using industry-standard tools, ensuring every experiment is reproducible and every result is auditable.</w:t>
      </w:r>
    </w:p>
    <w:p>
      <w:pPr>
        <w:spacing w:after="120"/>
      </w:pPr>
      <w:r>
        <w:rPr>
          <w:b/>
          <w:bCs/>
          <w:sz w:val="22"/>
          <w:szCs w:val="22"/>
        </w:rPr>
        <w:t xml:space="preserve">Apache Airflow — Workflow Orchestration: </w:t>
      </w:r>
      <w:r>
        <w:rPr>
          <w:sz w:val="22"/>
          <w:szCs w:val="22"/>
        </w:rPr>
        <w:t xml:space="preserve">Manages preprocessing DAGs, training job submissions, inference pipelines, and clustering tasks across geographically distributed compute systems. Enables remote GPU execution without modifying the dashboard application.</w:t>
      </w:r>
    </w:p>
    <w:p>
      <w:pPr>
        <w:spacing w:after="120"/>
      </w:pPr>
      <w:r>
        <w:rPr>
          <w:b/>
          <w:bCs/>
          <w:sz w:val="22"/>
          <w:szCs w:val="22"/>
        </w:rPr>
        <w:t xml:space="preserve">MLflow — Experiment Tracking &amp; Model Registry: </w:t>
      </w:r>
      <w:r>
        <w:rPr>
          <w:sz w:val="22"/>
          <w:szCs w:val="22"/>
        </w:rPr>
        <w:t xml:space="preserve">Records model hyperparameters, training metrics, validation metrics, confusion matrices, loss curves, model artifacts, and final evaluation summaries for every training run across all 4 segmentation architectures. The integrated MLflow Model Registry supports stage transitions (None → Staging → Production → Archived) so that the inference pipeline can pull the currently promoted model by name and stage rather than by hard-coded path.</w:t>
      </w:r>
    </w:p>
    <w:p>
      <w:pPr>
        <w:spacing w:after="120"/>
      </w:pPr>
      <w:r>
        <w:rPr>
          <w:b/>
          <w:bCs/>
          <w:sz w:val="22"/>
          <w:szCs w:val="22"/>
        </w:rPr>
        <w:t xml:space="preserve">DVC — Data Versioning: </w:t>
      </w:r>
      <w:r>
        <w:rPr>
          <w:sz w:val="22"/>
          <w:szCs w:val="22"/>
        </w:rPr>
        <w:t xml:space="preserve">Tracks versions of preprocessed datasets, model-ready data files, and experiment inputs. Ensures that different model runs can be reliably compared against the same data snapshot and that results can be reproduced at any point in the research lifecycle.</w:t>
      </w:r>
    </w:p>
    <w:p>
      <w:pPr>
        <w:spacing w:after="120"/>
      </w:pPr>
      <w:r>
        <w:rPr>
          <w:b/>
          <w:bCs/>
          <w:sz w:val="22"/>
          <w:szCs w:val="22"/>
        </w:rPr>
        <w:t xml:space="preserve">Dataset Lineage Tracking: </w:t>
      </w:r>
      <w:r>
        <w:rPr>
          <w:sz w:val="22"/>
          <w:szCs w:val="22"/>
        </w:rPr>
        <w:t xml:space="preserve">Full traceability from raw MLS upload (bronze layer) through metadata extraction, preprocessing (gold layer), model training, segmentation output, RANSAC clustering, and Rerun.io visualization — every artefact is identifiable by dataset ID, preprocessing version, model name, and run ID. This lineage model aligns with data governance practices required in enterprise DE and MLOps environments and supports audit, debugging, and root-cause analysis workflows.</w:t>
      </w:r>
    </w:p>
    <w:p>
      <w:pPr>
        <w:pStyle w:val="Heading1"/>
        <w:spacing w:after="160" w:before="280"/>
      </w:pPr>
      <w:r>
        <w:rPr>
          <w:b/>
          <w:bCs/>
          <w:color w:val="1F3A5F"/>
          <w:sz w:val="30"/>
          <w:szCs w:val="30"/>
        </w:rPr>
        <w:t xml:space="preserve">DEPLOYMENT &amp; SERVING — DESIGN AND ROADMAP</w:t>
      </w:r>
    </w:p>
    <w:p>
      <w:pPr>
        <w:spacing w:after="120"/>
      </w:pPr>
      <w:r>
        <w:rPr>
          <w:sz w:val="22"/>
          <w:szCs w:val="22"/>
        </w:rPr>
        <w:t xml:space="preserve">The current system focuses on the research-and-experimentation half of the MLOps lifecycle. The deployment layer is designed-in but staged for follow-up implementation, and the architecture cleanly accommodates the following production extensions:</w:t>
      </w:r>
    </w:p>
    <w:p>
      <w:pPr>
        <w:pStyle w:val="ListParagraph"/>
        <w:numPr>
          <w:ilvl w:val="0"/>
          <w:numId w:val="2"/>
        </w:numPr>
        <w:spacing w:after="80"/>
      </w:pPr>
      <w:r>
        <w:rPr>
          <w:b/>
          <w:bCs/>
          <w:sz w:val="22"/>
          <w:szCs w:val="22"/>
        </w:rPr>
        <w:t xml:space="preserve">Containerization</w:t>
      </w:r>
      <w:r>
        <w:rPr>
          <w:sz w:val="22"/>
          <w:szCs w:val="22"/>
        </w:rPr>
        <w:t xml:space="preserve"> — Each major component (Dash control plane, Airflow workers, training image, inference image) is intended to be packaged as a Docker image with pinned CUDA, framework, and Python dependencies. This isolates the dashboard from GPU dependencies and makes the same artifact run identically in dev, CI, and production.</w:t>
      </w:r>
    </w:p>
    <w:p>
      <w:pPr>
        <w:pStyle w:val="ListParagraph"/>
        <w:numPr>
          <w:ilvl w:val="0"/>
          <w:numId w:val="2"/>
        </w:numPr>
        <w:spacing w:after="80"/>
      </w:pPr>
      <w:r>
        <w:rPr>
          <w:b/>
          <w:bCs/>
          <w:sz w:val="22"/>
          <w:szCs w:val="22"/>
        </w:rPr>
        <w:t xml:space="preserve">Inference Service</w:t>
      </w:r>
      <w:r>
        <w:rPr>
          <w:sz w:val="22"/>
          <w:szCs w:val="22"/>
        </w:rPr>
        <w:t xml:space="preserve"> — A FastAPI-based inference microservice — or a Triton Inference Server deployment for higher-throughput cases — fronts the registered MLflow model, exposing a /predict endpoint that consumes preprocessed point cloud tiles and emits point-wise predictions. The service pulls the currently Production-stage model from MLflow at startup.</w:t>
      </w:r>
    </w:p>
    <w:p>
      <w:pPr>
        <w:pStyle w:val="ListParagraph"/>
        <w:numPr>
          <w:ilvl w:val="0"/>
          <w:numId w:val="2"/>
        </w:numPr>
        <w:spacing w:after="80"/>
      </w:pPr>
      <w:r>
        <w:rPr>
          <w:b/>
          <w:bCs/>
          <w:sz w:val="22"/>
          <w:szCs w:val="22"/>
        </w:rPr>
        <w:t xml:space="preserve">Orchestrated Deployment</w:t>
      </w:r>
      <w:r>
        <w:rPr>
          <w:sz w:val="22"/>
          <w:szCs w:val="22"/>
        </w:rPr>
        <w:t xml:space="preserve"> — Kubernetes (with KServe or a plain Deployment + HPA) is the target runtime for the inference service, with GPU node pools for model serving and CPU node pools for the Dash UI. Airflow itself runs on the same cluster via the official Helm chart.</w:t>
      </w:r>
    </w:p>
    <w:p>
      <w:pPr>
        <w:pStyle w:val="ListParagraph"/>
        <w:numPr>
          <w:ilvl w:val="0"/>
          <w:numId w:val="2"/>
        </w:numPr>
        <w:spacing w:after="80"/>
      </w:pPr>
      <w:r>
        <w:rPr>
          <w:b/>
          <w:bCs/>
          <w:sz w:val="22"/>
          <w:szCs w:val="22"/>
        </w:rPr>
        <w:t xml:space="preserve">CI / CD</w:t>
      </w:r>
      <w:r>
        <w:rPr>
          <w:sz w:val="22"/>
          <w:szCs w:val="22"/>
        </w:rPr>
        <w:t xml:space="preserve"> — GitHub Actions pipelines lint, test, build, and push container images on every merge. A separate model-promotion workflow gates Staging → Production transitions on evaluation thresholds (mIoU floor, building-class IoU floor) read directly from MLflow.</w:t>
      </w:r>
    </w:p>
    <w:p>
      <w:pPr>
        <w:pStyle w:val="ListParagraph"/>
        <w:numPr>
          <w:ilvl w:val="0"/>
          <w:numId w:val="2"/>
        </w:numPr>
        <w:spacing w:after="80"/>
      </w:pPr>
      <w:r>
        <w:rPr>
          <w:b/>
          <w:bCs/>
          <w:sz w:val="22"/>
          <w:szCs w:val="22"/>
        </w:rPr>
        <w:t xml:space="preserve">Production Monitoring</w:t>
      </w:r>
      <w:r>
        <w:rPr>
          <w:sz w:val="22"/>
          <w:szCs w:val="22"/>
        </w:rPr>
        <w:t xml:space="preserve"> — Prometheus + Grafana for service-level metrics (latency, GPU utilization, error rates) and a lightweight drift-detection job comparing live tile statistics against the training-set distribution stored in metadata_analytics/. Alerts trigger retraining DAGs in Airflow when drift thresholds are crossed.</w:t>
      </w:r>
    </w:p>
    <w:p>
      <w:pPr>
        <w:pStyle w:val="ListParagraph"/>
        <w:numPr>
          <w:ilvl w:val="0"/>
          <w:numId w:val="2"/>
        </w:numPr>
        <w:spacing w:after="80"/>
      </w:pPr>
      <w:r>
        <w:rPr>
          <w:b/>
          <w:bCs/>
          <w:sz w:val="22"/>
          <w:szCs w:val="22"/>
        </w:rPr>
        <w:t xml:space="preserve">Security &amp; Access Control</w:t>
      </w:r>
      <w:r>
        <w:rPr>
          <w:sz w:val="22"/>
          <w:szCs w:val="22"/>
        </w:rPr>
        <w:t xml:space="preserve"> — IAM-style scoped credentials at the bucket-prefix level, MLflow behind authenticated proxy, and audit logging of every promotion and deletion event in the model registry.</w:t>
      </w:r>
    </w:p>
    <w:p>
      <w:pPr>
        <w:pStyle w:val="Heading1"/>
        <w:spacing w:after="160" w:before="280"/>
      </w:pPr>
      <w:r>
        <w:rPr>
          <w:b/>
          <w:bCs/>
          <w:color w:val="1F3A5F"/>
          <w:sz w:val="30"/>
          <w:szCs w:val="30"/>
        </w:rPr>
        <w:t xml:space="preserve">TECHNOLOGY STACK SUMMARY</w:t>
      </w:r>
    </w:p>
    <w:p>
      <w:pPr>
        <w:spacing w:after="120"/>
      </w:pPr>
      <w:r>
        <w:rPr>
          <w:sz w:val="22"/>
          <w:szCs w:val="22"/>
        </w:rPr>
        <w:t xml:space="preserve">The following table maps each domain to the technologies used in the platform, with notes on production-equivalent alternatives where relevant for industry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9D6" w:sz="4"/>
              <w:left w:val="single" w:color="BFC9D6" w:sz="4"/>
              <w:bottom w:val="single" w:color="BFC9D6" w:sz="4"/>
              <w:right w:val="single" w:color="BFC9D6" w:sz="4"/>
            </w:tcBorders>
            <w:shd w:fill="E8EEF5" w:val="clear"/>
            <w:tcMar>
              <w:top w:type="dxa" w:w="100"/>
              <w:left w:type="dxa" w:w="140"/>
              <w:bottom w:type="dxa" w:w="100"/>
              <w:right w:type="dxa" w:w="140"/>
            </w:tcMar>
          </w:tcPr>
          <w:p>
            <w:r>
              <w:rPr>
                <w:b/>
                <w:bCs/>
                <w:sz w:val="21"/>
                <w:szCs w:val="21"/>
              </w:rPr>
              <w:t xml:space="preserve">Domain</w:t>
            </w:r>
          </w:p>
        </w:tc>
        <w:tc>
          <w:tcPr>
            <w:tcW w:type="dxa" w:w="3580"/>
            <w:tcBorders>
              <w:top w:val="single" w:color="BFC9D6" w:sz="4"/>
              <w:left w:val="single" w:color="BFC9D6" w:sz="4"/>
              <w:bottom w:val="single" w:color="BFC9D6" w:sz="4"/>
              <w:right w:val="single" w:color="BFC9D6" w:sz="4"/>
            </w:tcBorders>
            <w:shd w:fill="E8EEF5" w:val="clear"/>
            <w:tcMar>
              <w:top w:type="dxa" w:w="100"/>
              <w:left w:type="dxa" w:w="140"/>
              <w:bottom w:type="dxa" w:w="100"/>
              <w:right w:type="dxa" w:w="140"/>
            </w:tcMar>
          </w:tcPr>
          <w:p>
            <w:r>
              <w:rPr>
                <w:b/>
                <w:bCs/>
                <w:sz w:val="21"/>
                <w:szCs w:val="21"/>
              </w:rPr>
              <w:t xml:space="preserve">Implemented</w:t>
            </w:r>
          </w:p>
        </w:tc>
        <w:tc>
          <w:tcPr>
            <w:tcW w:type="dxa" w:w="3580"/>
            <w:tcBorders>
              <w:top w:val="single" w:color="BFC9D6" w:sz="4"/>
              <w:left w:val="single" w:color="BFC9D6" w:sz="4"/>
              <w:bottom w:val="single" w:color="BFC9D6" w:sz="4"/>
              <w:right w:val="single" w:color="BFC9D6" w:sz="4"/>
            </w:tcBorders>
            <w:shd w:fill="E8EEF5" w:val="clear"/>
            <w:tcMar>
              <w:top w:type="dxa" w:w="100"/>
              <w:left w:type="dxa" w:w="140"/>
              <w:bottom w:type="dxa" w:w="100"/>
              <w:right w:type="dxa" w:w="140"/>
            </w:tcMar>
          </w:tcPr>
          <w:p>
            <w:r>
              <w:rPr>
                <w:b/>
                <w:bCs/>
                <w:sz w:val="21"/>
                <w:szCs w:val="21"/>
              </w:rPr>
              <w:t xml:space="preserve">Production-Equivalent / Alternatives</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3D Deep Learning</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PointNet++, PointNet++ MSG, RandLA-Net, PTv3 (PyTorch)</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Same architectures; KPConv, MinkowskiNet, OpenPCDet for AV stacks</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Point Cloud I/O</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plyfile, laspy, pyarrow, PDAL-compatible flows</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PDAL, Open3D, Entwine for tiled at-scale ingestion</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Cloud Object Storage</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Backblaze B2 (S3-compatible API)</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AWS S3, Azure Blob, GCS — drop-in via boto3 / fsspec</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Lakehouse Layer (optional)</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Parquet on object storage</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Delta Lake, Apache Iceberg, Apache Hudi</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Workflow Orchestration</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Apache Airflow</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Prefect, Dagster, Argo Workflows</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Experiment Tracking</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MLflow Tracking + Model Registry</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Weights &amp; Biases, Neptune, Comet</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Data Versioning</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DVC</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LakeFS, Pachyderm, Delta Lake time-travel</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Control Plane / UI</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Python Dash</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Streamlit, FastAPI + React, Gradio</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3D Visualization</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Rerun.io</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Open3D, CloudCompare, deck.gl, Potree</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Geospatial Integration</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PostGIS-ready outputs, WebGIS-compatible exports</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GeoServer, Mapbox, ArcGIS, QGIS</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Serving (roadmap)</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FastAPI / Triton (designed)</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TorchServe, BentoML, KServe, Seldon Core</w:t>
            </w:r>
          </w:p>
        </w:tc>
      </w:tr>
      <w:tr>
        <w:tc>
          <w:tcPr>
            <w:tcW w:type="dxa" w:w="220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Container Runtime (roadmap)</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Docker (designed)</w:t>
            </w:r>
          </w:p>
        </w:tc>
        <w:tc>
          <w:tcPr>
            <w:tcW w:type="dxa" w:w="3580"/>
            <w:tcBorders>
              <w:top w:val="single" w:color="BFC9D6" w:sz="4"/>
              <w:left w:val="single" w:color="BFC9D6" w:sz="4"/>
              <w:bottom w:val="single" w:color="BFC9D6" w:sz="4"/>
              <w:right w:val="single" w:color="BFC9D6" w:sz="4"/>
            </w:tcBorders>
            <w:tcMar>
              <w:top w:type="dxa" w:w="100"/>
              <w:left w:type="dxa" w:w="140"/>
              <w:bottom w:type="dxa" w:w="100"/>
              <w:right w:type="dxa" w:w="140"/>
            </w:tcMar>
          </w:tcPr>
          <w:p>
            <w:r>
              <w:rPr>
                <w:b w:val="false"/>
                <w:bCs w:val="false"/>
                <w:sz w:val="21"/>
                <w:szCs w:val="21"/>
              </w:rPr>
              <w:t xml:space="preserve">Kubernetes + KServe, ECS, Cloud Run</w:t>
            </w:r>
          </w:p>
        </w:tc>
      </w:tr>
    </w:tbl>
    <w:p>
      <w:pPr>
        <w:spacing w:after="60"/>
      </w:pPr>
      <w:r>
        <w:t xml:space="preserve"/>
      </w:r>
    </w:p>
    <w:p>
      <w:pPr>
        <w:pStyle w:val="Heading1"/>
        <w:spacing w:after="160" w:before="280"/>
      </w:pPr>
      <w:r>
        <w:rPr>
          <w:b/>
          <w:bCs/>
          <w:color w:val="1F3A5F"/>
          <w:sz w:val="30"/>
          <w:szCs w:val="30"/>
        </w:rPr>
        <w:t xml:space="preserve">TECHNICAL CONTRIBUTIONS</w:t>
      </w:r>
    </w:p>
    <w:p>
      <w:pPr>
        <w:spacing w:after="120"/>
      </w:pPr>
      <w:r>
        <w:rPr>
          <w:sz w:val="22"/>
          <w:szCs w:val="22"/>
        </w:rPr>
        <w:t xml:space="preserve">The following contributions represent the core intellectual and engineering output of this thesis, framed in terms of their relevance to industry practitioners across geospatial, autonomous vehicle, and data engineering domains:</w:t>
      </w:r>
    </w:p>
    <w:p>
      <w:pPr>
        <w:pStyle w:val="ListParagraph"/>
        <w:numPr>
          <w:ilvl w:val="0"/>
          <w:numId w:val="2"/>
        </w:numPr>
        <w:spacing w:after="80"/>
      </w:pPr>
      <w:r>
        <w:rPr>
          <w:sz w:val="22"/>
          <w:szCs w:val="22"/>
        </w:rPr>
        <w:t xml:space="preserve">Designed and implemented a production-grade, cloud-enabled LiDAR data platform for the complete Mobile LiDAR building-identification workflow — from raw ingestion to final clustered output.</w:t>
      </w:r>
    </w:p>
    <w:p>
      <w:pPr>
        <w:pStyle w:val="ListParagraph"/>
        <w:numPr>
          <w:ilvl w:val="0"/>
          <w:numId w:val="2"/>
        </w:numPr>
        <w:spacing w:after="80"/>
      </w:pPr>
      <w:r>
        <w:rPr>
          <w:sz w:val="22"/>
          <w:szCs w:val="22"/>
        </w:rPr>
        <w:t xml:space="preserve">Architected a medallion data lake (bronze → gold) on S3-compatible object storage with structured separation of raw data, metadata, model-ready data, segmentation outputs, clustered results, and operational logs — portable across major cloud providers without architectural change.</w:t>
      </w:r>
    </w:p>
    <w:p>
      <w:pPr>
        <w:pStyle w:val="ListParagraph"/>
        <w:numPr>
          <w:ilvl w:val="0"/>
          <w:numId w:val="2"/>
        </w:numPr>
        <w:spacing w:after="80"/>
      </w:pPr>
      <w:r>
        <w:rPr>
          <w:sz w:val="22"/>
          <w:szCs w:val="22"/>
        </w:rPr>
        <w:t xml:space="preserve">Built real-time metadata extraction and Parquet-based analytical dashboards from raw point cloud files and semantic label maps — zero mock data, all statistics derived from actual file content.</w:t>
      </w:r>
    </w:p>
    <w:p>
      <w:pPr>
        <w:pStyle w:val="ListParagraph"/>
        <w:numPr>
          <w:ilvl w:val="0"/>
          <w:numId w:val="2"/>
        </w:numPr>
        <w:spacing w:after="80"/>
      </w:pPr>
      <w:r>
        <w:rPr>
          <w:sz w:val="22"/>
          <w:szCs w:val="22"/>
        </w:rPr>
        <w:t xml:space="preserve">Designed and deployed an Apache Airflow-orchestrated remote GPU preprocessing pipeline, decoupling the dashboard application from heavy compute workloads and enabling scalable processing of city-scale datasets.</w:t>
      </w:r>
    </w:p>
    <w:p>
      <w:pPr>
        <w:pStyle w:val="ListParagraph"/>
        <w:numPr>
          <w:ilvl w:val="0"/>
          <w:numId w:val="2"/>
        </w:numPr>
        <w:spacing w:after="80"/>
      </w:pPr>
      <w:r>
        <w:rPr>
          <w:sz w:val="22"/>
          <w:szCs w:val="22"/>
        </w:rPr>
        <w:t xml:space="preserve">Trained and benchmarked 4 state-of-the-art 3D point cloud segmentation models (PointNet++, PointNet++ MSG, RandLA-Net, PTv3) under controlled, reproducible MLOps conditions, achieving 92.82% building segmentation accuracy on Paris-Lille-3D.</w:t>
      </w:r>
    </w:p>
    <w:p>
      <w:pPr>
        <w:pStyle w:val="ListParagraph"/>
        <w:numPr>
          <w:ilvl w:val="0"/>
          <w:numId w:val="2"/>
        </w:numPr>
        <w:spacing w:after="80"/>
      </w:pPr>
      <w:r>
        <w:rPr>
          <w:sz w:val="22"/>
          <w:szCs w:val="22"/>
        </w:rPr>
        <w:t xml:space="preserve">Integrated MLflow experiment tracking and a model registry, plus DVC data versioning, across the entire ML lifecycle — enabling systematic, reproducible, stage-gated model comparison and promotion at research and production scale.</w:t>
      </w:r>
    </w:p>
    <w:p>
      <w:pPr>
        <w:pStyle w:val="ListParagraph"/>
        <w:numPr>
          <w:ilvl w:val="0"/>
          <w:numId w:val="2"/>
        </w:numPr>
        <w:spacing w:after="80"/>
      </w:pPr>
      <w:r>
        <w:rPr>
          <w:sz w:val="22"/>
          <w:szCs w:val="22"/>
        </w:rPr>
        <w:t xml:space="preserve">Applied RANSAC-based geometric clustering as a post-processing layer for structured building-object extraction, noise reduction, and surface-level refinement of deep learning segmentation outputs.</w:t>
      </w:r>
    </w:p>
    <w:p>
      <w:pPr>
        <w:pStyle w:val="ListParagraph"/>
        <w:numPr>
          <w:ilvl w:val="0"/>
          <w:numId w:val="2"/>
        </w:numPr>
        <w:spacing w:after="80"/>
      </w:pPr>
      <w:r>
        <w:rPr>
          <w:sz w:val="22"/>
          <w:szCs w:val="22"/>
        </w:rPr>
        <w:t xml:space="preserve">Implemented Rerun.io-based interactive 3D visualization supporting 7 view modes (RGB, height, intensity, semantic, binary, prediction, cluster), enabling qualitative spatial validation of model outputs.</w:t>
      </w:r>
    </w:p>
    <w:p>
      <w:pPr>
        <w:pStyle w:val="ListParagraph"/>
        <w:numPr>
          <w:ilvl w:val="0"/>
          <w:numId w:val="2"/>
        </w:numPr>
        <w:spacing w:after="80"/>
      </w:pPr>
      <w:r>
        <w:rPr>
          <w:sz w:val="22"/>
          <w:szCs w:val="22"/>
        </w:rPr>
        <w:t xml:space="preserve">Demonstrated end-to-end dataset lineage — every artefact traceable by dataset ID, preprocessing version, model name, and run ID — aligned with data governance practices required in enterprise DE and MLOps environments.</w:t>
      </w:r>
    </w:p>
    <w:p>
      <w:pPr>
        <w:pStyle w:val="ListParagraph"/>
        <w:numPr>
          <w:ilvl w:val="0"/>
          <w:numId w:val="2"/>
        </w:numPr>
        <w:spacing w:after="80"/>
      </w:pPr>
      <w:r>
        <w:rPr>
          <w:sz w:val="22"/>
          <w:szCs w:val="22"/>
        </w:rPr>
        <w:t xml:space="preserve">Specified a deployment-and-serving roadmap (containerization, FastAPI / Triton inference, Kubernetes orchestration, CI/CD, drift-monitoring) that extends the platform from research artifact to production-grade service without redesign.</w:t>
      </w:r>
    </w:p>
    <w:p>
      <w:pPr>
        <w:pStyle w:val="ListParagraph"/>
        <w:numPr>
          <w:ilvl w:val="0"/>
          <w:numId w:val="2"/>
        </w:numPr>
        <w:spacing w:after="80"/>
      </w:pPr>
      <w:r>
        <w:rPr>
          <w:sz w:val="22"/>
          <w:szCs w:val="22"/>
        </w:rPr>
        <w:t xml:space="preserve">Produced a unified, reproducible research platform applicable to smart city mapping, autonomous vehicle perception, urban digital twin construction, infrastructure monitoring, and large-scale geospatial data engineering workflows.</w:t>
      </w:r>
    </w:p>
    <w:p>
      <w:pPr>
        <w:pStyle w:val="Heading1"/>
        <w:spacing w:after="160" w:before="280"/>
      </w:pPr>
      <w:r>
        <w:rPr>
          <w:b/>
          <w:bCs/>
          <w:color w:val="1F3A5F"/>
          <w:sz w:val="30"/>
          <w:szCs w:val="30"/>
        </w:rPr>
        <w:t xml:space="preserve">INDUSTRY APPLICABILITY</w:t>
      </w:r>
    </w:p>
    <w:p>
      <w:pPr>
        <w:spacing w:after="80" w:before="160"/>
      </w:pPr>
      <w:r>
        <w:rPr>
          <w:b/>
          <w:bCs/>
          <w:color w:val="2E4F76"/>
          <w:sz w:val="23"/>
          <w:szCs w:val="23"/>
        </w:rPr>
        <w:t xml:space="preserve">Smart Cities &amp; Geospatial Industry</w:t>
      </w:r>
    </w:p>
    <w:p>
      <w:pPr>
        <w:spacing w:after="120"/>
      </w:pPr>
      <w:r>
        <w:rPr>
          <w:sz w:val="22"/>
          <w:szCs w:val="22"/>
        </w:rPr>
        <w:t xml:space="preserve">The building extraction pipeline — from raw MLS ingestion to semantic labelling to RANSAC-clustered building objects — is directly applicable to urban digital twin construction, smart city 3D mapping platforms, cadastral and land-use analysis, infrastructure asset management, and GIS-integrated building databases. Technologies used (PostGIS-ready outputs, WebGIS-compatible exports, remote sensing and satellite image processing know-how, Rerun.io visualization) align with the core geospatial technology stack.</w:t>
      </w:r>
    </w:p>
    <w:p>
      <w:pPr>
        <w:spacing w:after="80" w:before="160"/>
      </w:pPr>
      <w:r>
        <w:rPr>
          <w:b/>
          <w:bCs/>
          <w:color w:val="2E4F76"/>
          <w:sz w:val="23"/>
          <w:szCs w:val="23"/>
        </w:rPr>
        <w:t xml:space="preserve">Autonomous Vehicles &amp; 3D Perception</w:t>
      </w:r>
    </w:p>
    <w:p>
      <w:pPr>
        <w:spacing w:after="120"/>
      </w:pPr>
      <w:r>
        <w:rPr>
          <w:sz w:val="22"/>
          <w:szCs w:val="22"/>
        </w:rPr>
        <w:t xml:space="preserve">The 3D scene-understanding pipeline — Mobile LiDAR ingestion, point-wise deep learning segmentation (PointNet++, RandLA-Net, PTv3), and geometric clustering — mirrors the perception stack in autonomous driving systems. The model architectures, training methodology, evaluation metrics (IoU, mIoU), and RANSAC-based post-processing are standard components in AV LiDAR perception pipelines. The platform demonstrates proficiency in the exact tools and methods used by AV perception engineering teams.</w:t>
      </w:r>
    </w:p>
    <w:p>
      <w:pPr>
        <w:spacing w:after="80" w:before="160"/>
      </w:pPr>
      <w:r>
        <w:rPr>
          <w:b/>
          <w:bCs/>
          <w:color w:val="2E4F76"/>
          <w:sz w:val="23"/>
          <w:szCs w:val="23"/>
        </w:rPr>
        <w:t xml:space="preserve">Data Engineering &amp; MLOps Industry</w:t>
      </w:r>
    </w:p>
    <w:p>
      <w:pPr>
        <w:spacing w:after="120"/>
      </w:pPr>
      <w:r>
        <w:rPr>
          <w:sz w:val="22"/>
          <w:szCs w:val="22"/>
        </w:rPr>
        <w:t xml:space="preserve">The medallion data lake architecture, Airflow-orchestrated pipeline, MLflow experiment tracking and model registry, DVC data versioning, Parquet-based analytics, and Python Dash control plane collectively demonstrate production-grade data engineering and MLOps capability. The platform design — with stateless compute, remote job submission, versioned data layers, full lineage tracking, and a designed-in path to containerized serving with CI/CD and drift monitoring — follows the same architectural patterns deployed in enterprise DE and MLOps environments at scale.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Mobile LiDAR Building Identification  •  Industry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Identification from Mobile LiDAR Data — Industry Summary</dc:title>
  <dc:creator>Sanskar Srivastava</dc:creator>
  <cp:lastModifiedBy>Un-named</cp:lastModifiedBy>
  <cp:revision>1</cp:revision>
  <dcterms:created xsi:type="dcterms:W3CDTF">2026-05-08T17:36:02.430Z</dcterms:created>
  <dcterms:modified xsi:type="dcterms:W3CDTF">2026-05-08T17:36:02.430Z</dcterms:modified>
</cp:coreProperties>
</file>

<file path=docProps/custom.xml><?xml version="1.0" encoding="utf-8"?>
<Properties xmlns="http://schemas.openxmlformats.org/officeDocument/2006/custom-properties" xmlns:vt="http://schemas.openxmlformats.org/officeDocument/2006/docPropsVTypes"/>
</file>