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Document: Migrating LiveKit Agent from Remote STT/TTS to Local In-Process STT/TTS</w:t>
      </w:r>
    </w:p>
    <w:p>
      <w:r>
        <w:rPr>
          <w:b/>
        </w:rPr>
        <w:t>Objective</w:t>
        <w:br/>
      </w:r>
      <w:r>
        <w:t>Replace remote Deepgram STT and Sarvam TTS with CPU-optimized local inference running inside the same LiveKit Agent process on ECS Fargate Spot.</w:t>
        <w:br/>
      </w:r>
    </w:p>
    <w:p>
      <w:pPr>
        <w:pStyle w:val="Heading2"/>
      </w:pPr>
      <w:r>
        <w:t>Target Architecture</w:t>
      </w:r>
    </w:p>
    <w:p>
      <w:r>
        <w:t>Client &lt;-&gt; LiveKit (WebRTC) &lt;-&gt; LiveKit Agent</w:t>
        <w:br/>
        <w:t>Inside the LiveKit Agent process:</w:t>
        <w:br/>
        <w:t>- Audio frames from LiveKit</w:t>
        <w:br/>
        <w:t>- Resampler (if required)</w:t>
        <w:br/>
        <w:t>- Voice Activity Detection (VAD)</w:t>
        <w:br/>
        <w:t>- Local STT runtime (shared library)</w:t>
        <w:br/>
        <w:t>- Quantized STT model loaded once into RAM</w:t>
        <w:br/>
        <w:t>- LLM client</w:t>
        <w:br/>
        <w:t>- Local TTS runtime (shared library)</w:t>
        <w:br/>
        <w:t>- Quantized TTS model loaded once into RAM</w:t>
        <w:br/>
        <w:t>- PCM audio published back through LiveKit</w:t>
        <w:br/>
        <w:br/>
        <w:t>There are no HTTP/WebSocket calls between STT, LLM orchestration and TTS inside the agent. Only the LLM may remain remote.</w:t>
      </w:r>
    </w:p>
    <w:p>
      <w:pPr>
        <w:pStyle w:val="Heading2"/>
      </w:pPr>
      <w:r>
        <w:t>Migration Goals</w:t>
      </w:r>
    </w:p>
    <w:p>
      <w:r>
        <w:t>1. Keep the existing conversation logic unchanged.</w:t>
        <w:br/>
        <w:t>2. Replace provider-specific implementations with interfaces.</w:t>
        <w:br/>
        <w:t>3. Support both remote and local providers during migration.</w:t>
        <w:br/>
        <w:t>4. Load models only once during application startup.</w:t>
        <w:br/>
        <w:t>5. Stream audio frame-by-frame into the local STT runtime.</w:t>
        <w:br/>
        <w:t>6. Stream synthesized PCM directly to LiveKit.</w:t>
      </w:r>
    </w:p>
    <w:p>
      <w:pPr>
        <w:pStyle w:val="Heading2"/>
      </w:pPr>
      <w:r>
        <w:t>Recommended Project Structure</w:t>
      </w:r>
    </w:p>
    <w:p>
      <w:r>
        <w:t>voice-agent/</w:t>
        <w:br/>
        <w:t xml:space="preserve"> app/</w:t>
        <w:br/>
        <w:t xml:space="preserve"> audio/</w:t>
        <w:br/>
        <w:t xml:space="preserve"> stt/</w:t>
        <w:br/>
        <w:t xml:space="preserve">   interface</w:t>
        <w:br/>
        <w:t xml:space="preserve">   deepgram_provider</w:t>
        <w:br/>
        <w:t xml:space="preserve">   local_provider</w:t>
        <w:br/>
        <w:t xml:space="preserve"> tts/</w:t>
        <w:br/>
        <w:t xml:space="preserve">   interface</w:t>
        <w:br/>
        <w:t xml:space="preserve">   sarvam_provider</w:t>
        <w:br/>
        <w:t xml:space="preserve">   local_provider</w:t>
        <w:br/>
        <w:t xml:space="preserve"> models/</w:t>
        <w:br/>
        <w:t xml:space="preserve"> runtimes/</w:t>
        <w:br/>
        <w:t xml:space="preserve"> config/</w:t>
      </w:r>
    </w:p>
    <w:p>
      <w:pPr>
        <w:pStyle w:val="Heading2"/>
      </w:pPr>
      <w:r>
        <w:t>Startup Flow</w:t>
      </w:r>
    </w:p>
    <w:p>
      <w:r>
        <w:t>1. Container starts.</w:t>
        <w:br/>
        <w:t>2. Initialize LiveKit Agent.</w:t>
        <w:br/>
        <w:t>3. Load STT shared library.</w:t>
        <w:br/>
        <w:t>4. Load STT model into memory.</w:t>
        <w:br/>
        <w:t>5. Load TTS shared library.</w:t>
        <w:br/>
        <w:t>6. Load TTS model into memory.</w:t>
        <w:br/>
        <w:t>7. Initialize LLM client.</w:t>
        <w:br/>
        <w:t>8. Start LiveKit room listener.</w:t>
        <w:br/>
        <w:t>Models remain resident in RAM for the process lifetime.</w:t>
      </w:r>
    </w:p>
    <w:p>
      <w:pPr>
        <w:pStyle w:val="Heading2"/>
      </w:pPr>
      <w:r>
        <w:t>Runtime Flow</w:t>
      </w:r>
    </w:p>
    <w:p>
      <w:r>
        <w:t>1. LiveKit delivers decoded PCM frames.</w:t>
        <w:br/>
        <w:t>2. Optional resampling.</w:t>
        <w:br/>
        <w:t>3. Optional VAD.</w:t>
        <w:br/>
        <w:t>4. Feed frames into local STT.</w:t>
        <w:br/>
        <w:t>5. Receive partial transcript.</w:t>
        <w:br/>
        <w:t>6. Receive final transcript after endpoint.</w:t>
        <w:br/>
        <w:t>7. Send transcript to LLM.</w:t>
        <w:br/>
        <w:t>8. Receive response text.</w:t>
        <w:br/>
        <w:t>9. Pass text to local TTS.</w:t>
        <w:br/>
        <w:t>10. Generate PCM.</w:t>
        <w:br/>
        <w:t>11. Publish audio via LiveKit SDK.</w:t>
      </w:r>
    </w:p>
    <w:p>
      <w:pPr>
        <w:pStyle w:val="Heading2"/>
      </w:pPr>
      <w:r>
        <w:t>Interfaces</w:t>
      </w:r>
    </w:p>
    <w:p>
      <w:r>
        <w:t>ISTT:</w:t>
        <w:br/>
        <w:t>- initialize(model_path)</w:t>
        <w:br/>
        <w:t>- process_frame(audio_frame)</w:t>
        <w:br/>
        <w:t>- flush()</w:t>
        <w:br/>
        <w:t>- reset()</w:t>
        <w:br/>
        <w:br/>
        <w:t>ITTS:</w:t>
        <w:br/>
        <w:t>- initialize(model_path)</w:t>
        <w:br/>
        <w:t>- synthesize_stream(text)</w:t>
        <w:br/>
        <w:t>- reset()</w:t>
      </w:r>
    </w:p>
    <w:p>
      <w:pPr>
        <w:pStyle w:val="Heading2"/>
      </w:pPr>
      <w:r>
        <w:t>CPU Deployment</w:t>
      </w:r>
    </w:p>
    <w:p>
      <w:r>
        <w:t>Target: ECS Fargate Spot (CPU only)</w:t>
        <w:br/>
        <w:t>- Use quantized CPU-friendly models.</w:t>
        <w:br/>
        <w:t>- Load models once.</w:t>
        <w:br/>
        <w:t>- Avoid network hops between components.</w:t>
        <w:br/>
        <w:t>- Scale by increasing tasks rather than loading models repeatedly.</w:t>
      </w:r>
    </w:p>
    <w:p>
      <w:pPr>
        <w:pStyle w:val="Heading2"/>
      </w:pPr>
      <w:r>
        <w:t>Implementation Plan for Codex</w:t>
      </w:r>
    </w:p>
    <w:p>
      <w:r>
        <w:t>Phase 1: Introduce ISTT and ITTS abstractions.</w:t>
        <w:br/>
        <w:t>Phase 2: Refactor existing Deepgram/Sarvam implementations behind interfaces.</w:t>
        <w:br/>
        <w:t>Phase 3: Add LocalSTT runtime wrapper.</w:t>
        <w:br/>
        <w:t>Phase 4: Add LocalTTS runtime wrapper.</w:t>
        <w:br/>
        <w:t>Phase 5: Configuration-based provider selection.</w:t>
        <w:br/>
        <w:t>Phase 6: Benchmark latency, CPU, memory and concurrency.</w:t>
      </w:r>
    </w:p>
    <w:p>
      <w:pPr>
        <w:pStyle w:val="Heading2"/>
      </w:pPr>
      <w:r>
        <w:t>Acceptance Criteria</w:t>
      </w:r>
    </w:p>
    <w:p>
      <w:r>
        <w:t>- Existing agent behaviour unchanged when remote providers are selected.</w:t>
        <w:br/>
        <w:t>- Local providers selectable by configuration.</w:t>
        <w:br/>
        <w:t>- No network dependency for STT/TTS.</w:t>
        <w:br/>
        <w:t>- Streaming partial transcripts.</w:t>
        <w:br/>
        <w:t>- Streaming synthesized audio.</w:t>
        <w:br/>
        <w:t>- Stable CPU usage.</w:t>
        <w:br/>
        <w:t>- Production-ready logging and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