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We then show that the absolute skill of a presence-only model is not identifiable from the data it was fitted to. Two synthetic worlds were constructed whose observed presence and absence samples are nearly indistinguishable — their separations differ by 0.02 and their reported AUCs by 0.043 — while their ability to rank genuinely susceptible terrain differs by 0.281. A difference between the two samples enters an AUC identically whether it arises because presences are different terrain or because absences were drawn from elsewhere, so no statistic computed from those samples can attribute it. We report our own failed attempts at a correction for the same reason. What remains identifiable is the relative effect of the absence design, obtained by holding presences, predictors and model fixed and varying only the sampling: the published protocol returns 1.000, terrain-matched absences 0.954, and aspect-matched absences with corrected labels 0.866. Training on displaced absences and evaluating on a fixed honest test set shows the model itself is little harmed, falling only from 0.975 to 0.952; what the design corrupts is the figure a study reports about itself. Two further diagnostics agree: 1 km climate and 500 m snow-cover predictors are statistically interchangeable with raw spatial coordinates, and reported AUC rises with the background sampling ratio while precision-recall performance falls. We recommend that susceptibility studies hold out an evaluation set whose absences are drawn like the presences; code and data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The background window sets the separability of the absence design directly, so the result was recomputed across four alternatives. Reported AUC moves with the choice — 0.844 at 20–60°, 0.866 at 25–55°, 0.873 at 28–60° and 0.875 at 30–50° — a range of 0.031 produced by a decision about which terrain counts as comparable, with the presences, predictors and model unchanged. This is the paper's argument appearing within a single study: a defensible-looking choice moves the reported number by more than the gap between several published models. The 25–55° window is used throughout, and the alternatives are reported so the sensitivity is visible rather than buried.</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i w:val="0"/>
          <w:sz w:val="22"/>
        </w:rPr>
        <w:t>Full results for both invariance checks are given in the supplementary material (Tables S1 and S2).</w:t>
      </w:r>
    </w:p>
    <w:p>
      <w:pPr>
        <w:pStyle w:val="Heading2"/>
      </w:pPr>
      <w:r>
        <w:rPr>
          <w:color w:val="0B3D5C"/>
        </w:rPr>
        <w:t>4.2 What a reported AUC cannot recover</w:t>
      </w:r>
    </w:p>
    <w:p>
      <w:r>
        <w:rPr>
          <w:i w:val="0"/>
          <w:sz w:val="22"/>
        </w:rPr>
        <w:t>The natural response to Section 4.1 is to remove the design's contribution and keep the remainder as the model's. We pursued that and report here why it cannot work, because the reason is more informative than the method would have been.</w:t>
      </w:r>
    </w:p>
    <w:p>
      <w:r>
        <w:rPr>
          <w:i w:val="0"/>
          <w:sz w:val="22"/>
        </w:rPr>
        <w:t>An AUC is a function of two class-conditional distributions and nothing else. A difference between presences and absences enters those distributions identically whether it arises because presences are genuinely different terrain or because the absences were drawn from elsewhere. No statistic computed from the two samples can attribute it, since the samples are all there is.</w:t>
      </w:r>
    </w:p>
    <w:p>
      <w:r>
        <w:rPr>
          <w:i w:val="0"/>
          <w:sz w:val="22"/>
        </w:rPr>
        <w:t>That this bites in practice, and not only in principle, can be shown by construction. Two synthetic worlds were built. In the first, predictors are strongly related to true susceptibility and absences are drawn from terrain like the presences. In the second, predictors are weakly related and absences are drawn from further away. Parameters were chosen so the observed clouds nearly coincide.</w:t>
      </w:r>
    </w:p>
    <w:p>
      <w:r>
        <w:rPr>
          <w:b/>
          <w:sz w:val="19"/>
        </w:rPr>
        <w:t>Table 2. Two worlds with nearly identical observable data and different true skill.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World</w:t>
            </w:r>
          </w:p>
        </w:tc>
        <w:tc>
          <w:tcPr>
            <w:tcW w:type="dxa" w:w="2448"/>
          </w:tcPr>
          <w:p>
            <w:r/>
            <w:r>
              <w:rPr>
                <w:b/>
                <w:sz w:val="18"/>
              </w:rPr>
              <w:t>Observed presence–absence gap</w:t>
            </w:r>
          </w:p>
        </w:tc>
        <w:tc>
          <w:tcPr>
            <w:tcW w:type="dxa" w:w="1440"/>
          </w:tcPr>
          <w:p>
            <w:r/>
            <w:r>
              <w:rPr>
                <w:b/>
                <w:sz w:val="18"/>
              </w:rPr>
              <w:t>Reported AUC</w:t>
            </w:r>
          </w:p>
        </w:tc>
        <w:tc>
          <w:tcPr>
            <w:tcW w:type="dxa" w:w="2016"/>
          </w:tcPr>
          <w:p>
            <w:r/>
            <w:r>
              <w:rPr>
                <w:b/>
                <w:sz w:val="18"/>
              </w:rPr>
              <w:t>AUC against true absences</w:t>
            </w:r>
          </w:p>
        </w:tc>
      </w:tr>
      <w:tr>
        <w:tc>
          <w:tcPr>
            <w:tcW w:type="dxa" w:w="3600"/>
          </w:tcPr>
          <w:p>
            <w:r/>
            <w:r>
              <w:rPr>
                <w:sz w:val="18"/>
              </w:rPr>
              <w:t>A  informative predictors, honest absences</w:t>
            </w:r>
          </w:p>
        </w:tc>
        <w:tc>
          <w:tcPr>
            <w:tcW w:type="dxa" w:w="2448"/>
          </w:tcPr>
          <w:p>
            <w:r/>
            <w:r>
              <w:rPr>
                <w:sz w:val="18"/>
              </w:rPr>
              <w:t>2.405</w:t>
            </w:r>
          </w:p>
        </w:tc>
        <w:tc>
          <w:tcPr>
            <w:tcW w:type="dxa" w:w="1440"/>
          </w:tcPr>
          <w:p>
            <w:r/>
            <w:r>
              <w:rPr>
                <w:sz w:val="18"/>
              </w:rPr>
              <w:t>0.950</w:t>
            </w:r>
          </w:p>
        </w:tc>
        <w:tc>
          <w:tcPr>
            <w:tcW w:type="dxa" w:w="2016"/>
          </w:tcPr>
          <w:p>
            <w:r/>
            <w:r>
              <w:rPr>
                <w:sz w:val="18"/>
              </w:rPr>
              <w:t>0.987</w:t>
            </w:r>
          </w:p>
        </w:tc>
      </w:tr>
      <w:tr>
        <w:tc>
          <w:tcPr>
            <w:tcW w:type="dxa" w:w="3600"/>
          </w:tcPr>
          <w:p>
            <w:r/>
            <w:r>
              <w:rPr>
                <w:sz w:val="18"/>
              </w:rPr>
              <w:t>B  weak predictors, displaced absences</w:t>
            </w:r>
          </w:p>
        </w:tc>
        <w:tc>
          <w:tcPr>
            <w:tcW w:type="dxa" w:w="2448"/>
          </w:tcPr>
          <w:p>
            <w:r/>
            <w:r>
              <w:rPr>
                <w:sz w:val="18"/>
              </w:rPr>
              <w:t>2.383</w:t>
            </w:r>
          </w:p>
        </w:tc>
        <w:tc>
          <w:tcPr>
            <w:tcW w:type="dxa" w:w="1440"/>
          </w:tcPr>
          <w:p>
            <w:r/>
            <w:r>
              <w:rPr>
                <w:sz w:val="18"/>
              </w:rPr>
              <w:t>0.908</w:t>
            </w:r>
          </w:p>
        </w:tc>
        <w:tc>
          <w:tcPr>
            <w:tcW w:type="dxa" w:w="2016"/>
          </w:tcPr>
          <w:p>
            <w:r/>
            <w:r>
              <w:rPr>
                <w:sz w:val="18"/>
              </w:rPr>
              <w:t>0.707</w:t>
            </w:r>
          </w:p>
        </w:tc>
      </w:tr>
    </w:tbl>
    <w:p/>
    <w:p>
      <w:r>
        <w:rPr>
          <w:i w:val="0"/>
          <w:sz w:val="22"/>
        </w:rPr>
        <w:t>The observed separations differ by 0.022 and the reported AUCs by 0.043. Measured against true absences — which no presence-only study possesses — the two differ by 0.281, roughly six times as much. Data that a study could not tell apart correspond to models that differ substantially in what a reader cares about.</w:t>
      </w:r>
    </w:p>
    <w:p>
      <w:r>
        <w:rPr>
          <w:i w:val="0"/>
          <w:sz w:val="22"/>
        </w:rPr>
        <w:t>Attempts to construct a null baseline from a study's own data fail for the same reason, and we report them so the obstacle is not mistaken for an oversight. Generating synthetic classes matched to the observed means and covariances yields a baseline of 0.989 for the corrected configuration, above its own reported AUC, because Gaussian clouds at those moments are easier to separate than the real data: the construction discards exactly the within-class overlap that makes the real problem hard. Resampling real rows within each class preserves the signal intact and is therefore not a null at all. Nor is the separability measure canonical — for the published protocol the diagonal form gives 7.06 standard deviations and the Mahalanobis form 4.64, so a baseline read off a δ axis inherits the choice of measure.</w:t>
      </w:r>
    </w:p>
    <w:p>
      <w:r>
        <w:rPr>
          <w:i w:val="0"/>
          <w:sz w:val="22"/>
        </w:rPr>
        <w:t>Two failed constructions do not establish that every conceivable null must fail, and we do not claim a general impossibility theorem. What the two-world construction establishes is sharper and sufficient: under the observational setup a presence-only study actually has — the presence sample, the absence sample, and the predictors — two models whose true skill differs by 0.281 can produce data a study could not tell apart. Any correction must therefore import information from outside that setup, such as verified true absences or a second independently designed absence set. Stating the null hypothesis precisely matters here: we test the hypothesis that predictors carry no information about occurrence beyond what the sampling design induces, which is not the same as testing for no association after conditioning on spatial structure.</w:t>
      </w:r>
    </w:p>
    <w:p>
      <w:r>
        <w:rPr>
          <w:i w:val="0"/>
          <w:sz w:val="22"/>
        </w:rPr>
        <w:t>We therefore withdraw our proposal to correct a reported AUC, and state the limit instead: the absolute skill of a presence-only susceptibility model is not recoverable from the data it was fitted to alone. What remains identifiable is the RELATIVE effect of the absence design, obtained by holding the presences, the predictors and the model fixed and varying only how absences are drawn. That comparison is the subject of the remaining sections, and it is available to any study at the cost of running its own pipeline a second time.</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3.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Training against bad absences versus reporting against them</w:t>
      </w:r>
    </w:p>
    <w:p>
      <w:r>
        <w:rPr>
          <w:i w:val="0"/>
          <w:sz w:val="22"/>
        </w:rPr>
        <w:t>A distinction the preceding sections leave open is whether a model TRAINED on poorly chosen absences is itself damaged, or whether only the number it reports is. We separate the two by training on absences at varying displacement and evaluating every model on one fixed test set whose absences are drawn like the presences — the evaluation the study should have run.</w:t>
      </w:r>
    </w:p>
    <w:p>
      <w:r>
        <w:rPr>
          <w:b/>
          <w:sz w:val="19"/>
        </w:rPr>
        <w:t>Table 4. AUC on a fixed honest test set, by how the training absences were drawn.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
              <w:rPr>
                <w:b/>
                <w:sz w:val="18"/>
              </w:rPr>
              <w:t>Training δ</w:t>
            </w:r>
          </w:p>
        </w:tc>
        <w:tc>
          <w:tcPr>
            <w:tcW w:type="dxa" w:w="2304"/>
          </w:tcPr>
          <w:p>
            <w:r/>
            <w:r>
              <w:rPr>
                <w:b/>
                <w:sz w:val="18"/>
              </w:rPr>
              <w:t>Ordinary classifier</w:t>
            </w:r>
          </w:p>
        </w:tc>
        <w:tc>
          <w:tcPr>
            <w:tcW w:type="dxa" w:w="1872"/>
          </w:tcPr>
          <w:p>
            <w:r/>
            <w:r>
              <w:rPr>
                <w:b/>
                <w:sz w:val="18"/>
              </w:rPr>
              <w:t>PU-corrected</w:t>
            </w:r>
          </w:p>
        </w:tc>
        <w:tc>
          <w:tcPr>
            <w:tcW w:type="dxa" w:w="2736"/>
          </w:tcPr>
          <w:p>
            <w:r/>
            <w:r>
              <w:rPr>
                <w:b/>
                <w:sz w:val="18"/>
              </w:rPr>
              <w:t>Presence-only (one-class)</w:t>
            </w:r>
          </w:p>
        </w:tc>
      </w:tr>
      <w:tr>
        <w:tc>
          <w:tcPr>
            <w:tcW w:type="dxa" w:w="1440"/>
          </w:tcPr>
          <w:p>
            <w:r/>
            <w:r>
              <w:rPr>
                <w:sz w:val="18"/>
              </w:rPr>
              <w:t>0</w:t>
            </w:r>
          </w:p>
        </w:tc>
        <w:tc>
          <w:tcPr>
            <w:tcW w:type="dxa" w:w="2304"/>
          </w:tcPr>
          <w:p>
            <w:r/>
            <w:r>
              <w:rPr>
                <w:sz w:val="18"/>
              </w:rPr>
              <w:t>0.975</w:t>
            </w:r>
          </w:p>
        </w:tc>
        <w:tc>
          <w:tcPr>
            <w:tcW w:type="dxa" w:w="1872"/>
          </w:tcPr>
          <w:p>
            <w:r/>
            <w:r>
              <w:rPr>
                <w:sz w:val="18"/>
              </w:rPr>
              <w:t>0.975</w:t>
            </w:r>
          </w:p>
        </w:tc>
        <w:tc>
          <w:tcPr>
            <w:tcW w:type="dxa" w:w="2736"/>
          </w:tcPr>
          <w:p>
            <w:r/>
            <w:r>
              <w:rPr>
                <w:sz w:val="18"/>
              </w:rPr>
              <w:t>0.819</w:t>
            </w:r>
          </w:p>
        </w:tc>
      </w:tr>
      <w:tr>
        <w:tc>
          <w:tcPr>
            <w:tcW w:type="dxa" w:w="1440"/>
          </w:tcPr>
          <w:p>
            <w:r/>
            <w:r>
              <w:rPr>
                <w:sz w:val="18"/>
              </w:rPr>
              <w:t>1</w:t>
            </w:r>
          </w:p>
        </w:tc>
        <w:tc>
          <w:tcPr>
            <w:tcW w:type="dxa" w:w="2304"/>
          </w:tcPr>
          <w:p>
            <w:r/>
            <w:r>
              <w:rPr>
                <w:sz w:val="18"/>
              </w:rPr>
              <w:t>0.969</w:t>
            </w:r>
          </w:p>
        </w:tc>
        <w:tc>
          <w:tcPr>
            <w:tcW w:type="dxa" w:w="1872"/>
          </w:tcPr>
          <w:p>
            <w:r/>
            <w:r>
              <w:rPr>
                <w:sz w:val="18"/>
              </w:rPr>
              <w:t>0.969</w:t>
            </w:r>
          </w:p>
        </w:tc>
        <w:tc>
          <w:tcPr>
            <w:tcW w:type="dxa" w:w="2736"/>
          </w:tcPr>
          <w:p>
            <w:r/>
            <w:r>
              <w:rPr>
                <w:sz w:val="18"/>
              </w:rPr>
              <w:t>0.819</w:t>
            </w:r>
          </w:p>
        </w:tc>
      </w:tr>
      <w:tr>
        <w:tc>
          <w:tcPr>
            <w:tcW w:type="dxa" w:w="1440"/>
          </w:tcPr>
          <w:p>
            <w:r/>
            <w:r>
              <w:rPr>
                <w:sz w:val="18"/>
              </w:rPr>
              <w:t>2</w:t>
            </w:r>
          </w:p>
        </w:tc>
        <w:tc>
          <w:tcPr>
            <w:tcW w:type="dxa" w:w="2304"/>
          </w:tcPr>
          <w:p>
            <w:r/>
            <w:r>
              <w:rPr>
                <w:sz w:val="18"/>
              </w:rPr>
              <w:t>0.959</w:t>
            </w:r>
          </w:p>
        </w:tc>
        <w:tc>
          <w:tcPr>
            <w:tcW w:type="dxa" w:w="1872"/>
          </w:tcPr>
          <w:p>
            <w:r/>
            <w:r>
              <w:rPr>
                <w:sz w:val="18"/>
              </w:rPr>
              <w:t>0.959</w:t>
            </w:r>
          </w:p>
        </w:tc>
        <w:tc>
          <w:tcPr>
            <w:tcW w:type="dxa" w:w="2736"/>
          </w:tcPr>
          <w:p>
            <w:r/>
            <w:r>
              <w:rPr>
                <w:sz w:val="18"/>
              </w:rPr>
              <w:t>0.819</w:t>
            </w:r>
          </w:p>
        </w:tc>
      </w:tr>
      <w:tr>
        <w:tc>
          <w:tcPr>
            <w:tcW w:type="dxa" w:w="1440"/>
          </w:tcPr>
          <w:p>
            <w:r/>
            <w:r>
              <w:rPr>
                <w:sz w:val="18"/>
              </w:rPr>
              <w:t>3</w:t>
            </w:r>
          </w:p>
        </w:tc>
        <w:tc>
          <w:tcPr>
            <w:tcW w:type="dxa" w:w="2304"/>
          </w:tcPr>
          <w:p>
            <w:r/>
            <w:r>
              <w:rPr>
                <w:sz w:val="18"/>
              </w:rPr>
              <w:t>0.952</w:t>
            </w:r>
          </w:p>
        </w:tc>
        <w:tc>
          <w:tcPr>
            <w:tcW w:type="dxa" w:w="1872"/>
          </w:tcPr>
          <w:p>
            <w:r/>
            <w:r>
              <w:rPr>
                <w:sz w:val="18"/>
              </w:rPr>
              <w:t>0.952</w:t>
            </w:r>
          </w:p>
        </w:tc>
        <w:tc>
          <w:tcPr>
            <w:tcW w:type="dxa" w:w="2736"/>
          </w:tcPr>
          <w:p>
            <w:r/>
            <w:r>
              <w:rPr>
                <w:sz w:val="18"/>
              </w:rPr>
              <w:t>0.819</w:t>
            </w:r>
          </w:p>
        </w:tc>
      </w:tr>
      <w:tr>
        <w:tc>
          <w:tcPr>
            <w:tcW w:type="dxa" w:w="1440"/>
          </w:tcPr>
          <w:p>
            <w:r/>
            <w:r>
              <w:rPr>
                <w:sz w:val="18"/>
              </w:rPr>
              <w:t>4</w:t>
            </w:r>
          </w:p>
        </w:tc>
        <w:tc>
          <w:tcPr>
            <w:tcW w:type="dxa" w:w="2304"/>
          </w:tcPr>
          <w:p>
            <w:r/>
            <w:r>
              <w:rPr>
                <w:sz w:val="18"/>
              </w:rPr>
              <w:t>0.955</w:t>
            </w:r>
          </w:p>
        </w:tc>
        <w:tc>
          <w:tcPr>
            <w:tcW w:type="dxa" w:w="1872"/>
          </w:tcPr>
          <w:p>
            <w:r/>
            <w:r>
              <w:rPr>
                <w:sz w:val="18"/>
              </w:rPr>
              <w:t>0.955</w:t>
            </w:r>
          </w:p>
        </w:tc>
        <w:tc>
          <w:tcPr>
            <w:tcW w:type="dxa" w:w="2736"/>
          </w:tcPr>
          <w:p>
            <w:r/>
            <w:r>
              <w:rPr>
                <w:sz w:val="18"/>
              </w:rPr>
              <w:t>0.819</w:t>
            </w:r>
          </w:p>
        </w:tc>
      </w:tr>
      <w:tr>
        <w:tc>
          <w:tcPr>
            <w:tcW w:type="dxa" w:w="1440"/>
          </w:tcPr>
          <w:p>
            <w:r/>
            <w:r>
              <w:rPr>
                <w:sz w:val="18"/>
              </w:rPr>
              <w:t>6</w:t>
            </w:r>
          </w:p>
        </w:tc>
        <w:tc>
          <w:tcPr>
            <w:tcW w:type="dxa" w:w="2304"/>
          </w:tcPr>
          <w:p>
            <w:r/>
            <w:r>
              <w:rPr>
                <w:sz w:val="18"/>
              </w:rPr>
              <w:t>0.964</w:t>
            </w:r>
          </w:p>
        </w:tc>
        <w:tc>
          <w:tcPr>
            <w:tcW w:type="dxa" w:w="1872"/>
          </w:tcPr>
          <w:p>
            <w:r/>
            <w:r>
              <w:rPr>
                <w:sz w:val="18"/>
              </w:rPr>
              <w:t>0.964</w:t>
            </w:r>
          </w:p>
        </w:tc>
        <w:tc>
          <w:tcPr>
            <w:tcW w:type="dxa" w:w="2736"/>
          </w:tcPr>
          <w:p>
            <w:r/>
            <w:r>
              <w:rPr>
                <w:sz w:val="18"/>
              </w:rPr>
              <w:t>0.819</w:t>
            </w:r>
          </w:p>
        </w:tc>
      </w:tr>
    </w:tbl>
    <w:p/>
    <w:p>
      <w:r>
        <w:rPr>
          <w:i w:val="0"/>
          <w:sz w:val="22"/>
        </w:rPr>
        <w:t>Judged honestly, the ordinary classifier falls only from 0.975 to 0.952 as its training absences are displaced from zero to three standard deviations. The model is largely unharmed; what the displacement corrupts is the figure the study reports about itself. This is the more accurate statement of the problem, and a more generous one: published susceptibility maps may well be serviceable products whose accompanying statistics do not describe them.</w:t>
      </w:r>
    </w:p>
    <w:p>
      <w:r>
        <w:rPr>
          <w:i w:val="0"/>
          <w:sz w:val="22"/>
        </w:rPr>
        <w:t>Two established treatments of presence-only data behave as theory predicts. The Elkan and Noto (2008) correction divides scores by the estimated labelling frequency, a constant, so the ranking and hence the AUC are unchanged to three decimal places at every displacement: it repairs calibration, not design dependence. A one-class model fitted to the presences alone never sees the absences and is therefore perfectly design-independent, returning 0.819 at every displacement, but it pays about 0.15 AUC for that robustness.</w:t>
      </w:r>
    </w:p>
    <w:p>
      <w:r>
        <w:rPr>
          <w:i w:val="0"/>
          <w:sz w:val="22"/>
        </w:rPr>
        <w:t>The practical implication is narrower than 'redraw your absences'. If absences must be constructed, the evaluation set is where it matters: holding out absences drawn like the presences costs nothing and makes the reported number interpretable. Where that is impossible, a presence-only method trades discriminative power for a figure that does not depend on the analyst's choices.</w:t>
      </w:r>
    </w:p>
    <w:p>
      <w:pPr>
        <w:pStyle w:val="Heading2"/>
      </w:pPr>
      <w:r>
        <w:rPr>
          <w:color w:val="0B3D5C"/>
        </w:rPr>
        <w:t>4.5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ends at C2, because its purpose is to isolate the cost of each correction with the predictor set held fixed; C3 is the best-performing honest configuration and is the one quoted wherever a single current figure is needed.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5.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3" name="Picture 3"/>
            <wp:cNvGraphicFramePr>
              <a:graphicFrameLocks noChangeAspect="1"/>
            </wp:cNvGraphicFramePr>
            <a:graphic>
              <a:graphicData uri="http://schemas.openxmlformats.org/drawingml/2006/picture">
                <pic:pic>
                  <pic:nvPicPr>
                    <pic:cNvPr id="0" name="fig_correction_ladder.png"/>
                    <pic:cNvPicPr/>
                  </pic:nvPicPr>
                  <pic:blipFill>
                    <a:blip r:embed="rId11"/>
                    <a:stretch>
                      <a:fillRect/>
                    </a:stretch>
                  </pic:blipFill>
                  <pic:spPr>
                    <a:xfrm>
                      <a:off x="0" y="0"/>
                      <a:ext cx="5486400" cy="2938613"/>
                    </a:xfrm>
                    <a:prstGeom prst="rect"/>
                  </pic:spPr>
                </pic:pic>
              </a:graphicData>
            </a:graphic>
          </wp:inline>
        </w:drawing>
      </w:r>
    </w:p>
    <w:p>
      <w:pPr>
        <w:jc w:val="center"/>
      </w:pPr>
      <w:r>
        <w:rPr>
          <w:i/>
          <w:sz w:val="18"/>
        </w:rPr>
        <w:t>Figure 3. Cumulative effect of each correction. Label quality removes more apparent skill than sampling design and spatial validation combined.</w:t>
      </w:r>
    </w:p>
    <w:p>
      <w:pPr>
        <w:pStyle w:val="Heading2"/>
      </w:pPr>
      <w:r>
        <w:rPr>
          <w:color w:val="0B3D5C"/>
        </w:rPr>
        <w:t>4.6 Where reported performance comes from</w:t>
      </w:r>
    </w:p>
    <w:p>
      <w:r>
        <w:rPr>
          <w:b/>
          <w:sz w:val="19"/>
        </w:rPr>
        <w:t>Table 6.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4" name="Picture 4"/>
            <wp:cNvGraphicFramePr>
              <a:graphicFrameLocks noChangeAspect="1"/>
            </wp:cNvGraphicFramePr>
            <a:graphic>
              <a:graphicData uri="http://schemas.openxmlformats.org/drawingml/2006/picture">
                <pic:pic>
                  <pic:nvPicPr>
                    <pic:cNvPr id="0" name="fig_leakage_decomposition.png"/>
                    <pic:cNvPicPr/>
                  </pic:nvPicPr>
                  <pic:blipFill>
                    <a:blip r:embed="rId12"/>
                    <a:stretch>
                      <a:fillRect/>
                    </a:stretch>
                  </pic:blipFill>
                  <pic:spPr>
                    <a:xfrm>
                      <a:off x="0" y="0"/>
                      <a:ext cx="5486400" cy="3500387"/>
                    </a:xfrm>
                    <a:prstGeom prst="rect"/>
                  </pic:spPr>
                </pic:pic>
              </a:graphicData>
            </a:graphic>
          </wp:inline>
        </w:drawing>
      </w:r>
    </w:p>
    <w:p>
      <w:pPr>
        <w:jc w:val="center"/>
      </w:pPr>
      <w:r>
        <w:rPr>
          <w:i/>
          <w:sz w:val="18"/>
        </w:rPr>
        <w:t>Figure 4.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7.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5" name="Picture 5"/>
            <wp:cNvGraphicFramePr>
              <a:graphicFrameLocks noChangeAspect="1"/>
            </wp:cNvGraphicFramePr>
            <a:graphic>
              <a:graphicData uri="http://schemas.openxmlformats.org/drawingml/2006/picture">
                <pic:pic>
                  <pic:nvPicPr>
                    <pic:cNvPr id="0" name="fig_label_sensitivity.png"/>
                    <pic:cNvPicPr/>
                  </pic:nvPicPr>
                  <pic:blipFill>
                    <a:blip r:embed="rId13"/>
                    <a:stretch>
                      <a:fillRect/>
                    </a:stretch>
                  </pic:blipFill>
                  <pic:spPr>
                    <a:xfrm>
                      <a:off x="0" y="0"/>
                      <a:ext cx="5486400" cy="3592718"/>
                    </a:xfrm>
                    <a:prstGeom prst="rect"/>
                  </pic:spPr>
                </pic:pic>
              </a:graphicData>
            </a:graphic>
          </wp:inline>
        </w:drawing>
      </w:r>
    </w:p>
    <w:p>
      <w:pPr>
        <w:jc w:val="center"/>
      </w:pPr>
      <w:r>
        <w:rPr>
          <w:i/>
          <w:sz w:val="18"/>
        </w:rPr>
        <w:t>Figure 5. The sampling artefact is independent of inventory size and label confidence.</w:t>
      </w:r>
    </w:p>
    <w:p>
      <w:pPr>
        <w:pStyle w:val="Heading2"/>
      </w:pPr>
      <w:r>
        <w:rPr>
          <w:color w:val="0B3D5C"/>
        </w:rPr>
        <w:t>4.7 Coarse predictors encode geography, not snowpack</w:t>
      </w:r>
    </w:p>
    <w:p>
      <w:r>
        <w:rPr>
          <w:b/>
          <w:sz w:val="19"/>
        </w:rPr>
        <w:t>Table 8.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6" name="Picture 6"/>
            <wp:cNvGraphicFramePr>
              <a:graphicFrameLocks noChangeAspect="1"/>
            </wp:cNvGraphicFramePr>
            <a:graphic>
              <a:graphicData uri="http://schemas.openxmlformats.org/drawingml/2006/picture">
                <pic:pic>
                  <pic:nvPicPr>
                    <pic:cNvPr id="0" name="fig_geography_ablation.png"/>
                    <pic:cNvPicPr/>
                  </pic:nvPicPr>
                  <pic:blipFill>
                    <a:blip r:embed="rId14"/>
                    <a:stretch>
                      <a:fillRect/>
                    </a:stretch>
                  </pic:blipFill>
                  <pic:spPr>
                    <a:xfrm>
                      <a:off x="0" y="0"/>
                      <a:ext cx="5852160" cy="2784168"/>
                    </a:xfrm>
                    <a:prstGeom prst="rect"/>
                  </pic:spPr>
                </pic:pic>
              </a:graphicData>
            </a:graphic>
          </wp:inline>
        </w:drawing>
      </w:r>
    </w:p>
    <w:p>
      <w:pPr>
        <w:jc w:val="center"/>
      </w:pPr>
      <w:r>
        <w:rPr>
          <w:i/>
          <w:sz w:val="18"/>
        </w:rPr>
        <w:t>Figure 6. Coarse predictors are interchangeable with coordinates.</w:t>
      </w:r>
    </w:p>
    <w:p>
      <w:pPr>
        <w:pStyle w:val="Heading2"/>
      </w:pPr>
      <w:r>
        <w:rPr>
          <w:color w:val="0B3D5C"/>
        </w:rPr>
        <w:t>4.8 Reported AUC depends on the background sampling ratio</w:t>
      </w:r>
    </w:p>
    <w:p>
      <w:r>
        <w:rPr>
          <w:b/>
          <w:sz w:val="19"/>
        </w:rPr>
        <w:t>Table 9.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10.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Section 4.2 shows that the contribution cannot be removed after the fact. Three consequences follow, and none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Model comparisons, predictor rankings and claims of improvement over prior work all inherit this, because all rest on a quantity the sampling design has already largely determined.</w:t>
      </w:r>
    </w:p>
    <w:p>
      <w:r>
        <w:rPr>
          <w:i w:val="0"/>
          <w:sz w:val="22"/>
        </w:rPr>
        <w:t>Second, above roughly three standard deviations of separation the measure saturates and stops discriminating: in the simulation a model with genuine skill and a model with none both report values above 0.97. Much of the published literature appears to operate in that regime.</w:t>
      </w:r>
    </w:p>
    <w:p>
      <w:r>
        <w:rPr>
          <w:i w:val="0"/>
          <w:sz w:val="22"/>
        </w:rPr>
        <w:t>Third — and this is the limit that bites — the part of a reported AUC attributable to the model cannot be recovered by arithmetic. A difference between the presence and absence samples enters the statistic identically whether it arises from genuine terrain differences or from where the absences were drawn, and the samples are all the evidence there is. Any correction, including the one we attempted, requires assumptions that the data cannot supply.</w:t>
      </w:r>
    </w:p>
    <w:p>
      <w:pPr>
        <w:pStyle w:val="Heading2"/>
      </w:pPr>
      <w:r>
        <w:rPr>
          <w:color w:val="0B3D5C"/>
        </w:rPr>
        <w:t>5.2 A design-sensitivity diagnostic rather than an AUC correction</w:t>
      </w:r>
    </w:p>
    <w:p>
      <w:r>
        <w:rPr>
          <w:i w:val="0"/>
          <w:sz w:val="22"/>
        </w:rPr>
        <w:t>What a study can do instead is measure how much its own reported figure depends on a choice it made. Holding the presences, the predictors, the model and the evaluation protocol fixed, and varying only how absences are drawn, isolates the contribution of the sampling design. The result is not a corrected accuracy and should not be reported as one: it is a sensitivity, analogous to reporting how a result moves under a plausible alternative specification.</w:t>
      </w:r>
    </w:p>
    <w:p>
      <w:r>
        <w:rPr>
          <w:i w:val="0"/>
          <w:sz w:val="22"/>
        </w:rPr>
        <w:t>Concretely, we suggest four things. Report the absence rule explicitly, in enough detail that it could be reimplemented. Run the same pipeline under at least two defensible absence designs and report the range of AUC obtained. Where an independent evaluation set can be constructed whose absences are drawn like the presences, report performance against it, since that figure is interpretable in a way the in-sample one is not. And treat a large spread across designs as what it is — evidence that the headline number describes the experiment rather than the model.</w:t>
      </w:r>
    </w:p>
    <w:p>
      <w:r>
        <w:rPr>
          <w:i w:val="0"/>
          <w:sz w:val="22"/>
        </w:rPr>
        <w:t>On the data used here that spread is 0.031 across four absence designs, from 0.923 with absences matched on slope to 0.954 with absences drawn at random from the candidate pool, which is the common default. That range is wider than the differences typically reported between competing models in this literature. The comparison requires no new statistic and no simulation; it is one extra run of a pipeline a study has already built, and designcheck.py in the repository performs it on any presence-only dataset.</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characterises how the inflation behaves. It is not a calibration: Section 4.2 withdraws the proposal to read a baseline off it and subtract that from a real study's figure, and the simulated values should not be used that way. The construction also simplifies real predictor structure — spatial clustering, covariance and non-Gaussian marginals are all idealised — though the invariance checks in the supplementary material show the qualitative behaviour survives each of these.</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A published avalanche susceptibility protocol places its absences 7.06 standard deviations from its presences on the diagonal measure, in a regime where the SIMULATION returns 1.000 for a model with no skill. Run on an independent inventory, the protocol OBSERVES 1.000. The agreement is informative but the two figures are different kinds of quantity, and the simulated one is not an estimate of the real model's skill.</w:t>
      </w:r>
    </w:p>
    <w:p>
      <w:pPr>
        <w:pStyle w:val="ListBullet"/>
      </w:pPr>
      <w:r>
        <w:t>The absolute skill of a presence-only susceptibility model is not identifiable from the data it was fitted to. Two worlds with nearly indistinguishable observed samples differ by 0.281 in their ability to rank genuinely susceptible terrain, and no statistic computed from those samples can tell them apart. Proposals to correct a reported AUC, including our own, fail for this reason rather than for want of a better estimator.</w:t>
      </w:r>
    </w:p>
    <w:p>
      <w:pPr>
        <w:pStyle w:val="ListBullet"/>
      </w:pPr>
      <w:r>
        <w:t>What is identifiable is the relative effect of the absence design, obtained by holding presences, predictors and model fixed and varying only how absences are drawn. Any study can run that comparison on its own pipeline.</w:t>
      </w:r>
    </w:p>
    <w:p>
      <w:pPr>
        <w:pStyle w:val="ListBullet"/>
      </w:pPr>
      <w:r>
        <w:t>Training on poorly drawn absences harms the model far less than it harms the number: on a fixed honest test set performance falls only from 0.975 to 0.952 as displacement rises from zero to three standard deviations.</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hold out an evaluation set whose absences are drawn like the presences. It costs nothing, needs no new statistic, and is the only step here that makes a reported number interpretable. Where that is impossible, a presence-only method gives a figure independent of the analyst's sampling choices at a cost of about 0.15 AUC.</w:t>
      </w:r>
    </w:p>
    <w:p>
      <w:pPr>
        <w:pStyle w:val="Heading1"/>
      </w:pPr>
      <w:r>
        <w:rPr>
          <w:color w:val="0B3D5C"/>
        </w:rPr>
        <w:t>Data and code availability</w:t>
      </w:r>
    </w:p>
    <w:p>
      <w:r>
        <w:rPr>
          <w:i w:val="0"/>
          <w:sz w:val="22"/>
        </w:rPr>
        <w:t>The design comparison this paper recommends is packaged as designcheck.py in the repository, which runs independently of the rest of the code. Given a table of predictor values at event locations and a pool of candidate absence locations, it scores one model against several absence designs and reports the spread, so any presence-only susceptibility study can measure how much of its reported figure the sampling accounts for. Supplementary Section S5 gives a worked example on the data used here.</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