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avalanche susceptibility mapping reflects sampling design, not predictive skill</w:t>
      </w:r>
    </w:p>
    <w:p>
      <w:pPr>
        <w:jc w:val="center"/>
      </w:pPr>
      <w:r>
        <w:rPr>
          <w:sz w:val="25"/>
        </w:rPr>
        <w:t>A controlled reproduction with an independently verified Sentinel-1 inventory, Western Himalaya</w:t>
      </w:r>
    </w:p>
    <w:p>
      <w:pPr>
        <w:jc w:val="center"/>
      </w:pPr>
      <w:r>
        <w:rPr>
          <w:i/>
          <w:sz w:val="20"/>
        </w:rPr>
        <w:t>Chandra-Bhaga and Upper Beas basins, Himachal Pradesh and Jammu &amp; Kashmir, India</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Separately, blind optical verification — which this literature does not report for any inventory — puts the detections' precision at 3.4% under an explicit scoring rule, against 26.7% from an unaided first pass of the same images (Cohen's kappa 0.49 between the two), so the verification is itself considerably less reliable than its absence from the literature implies. Requiring snow cover to persist after each event removes 72% of the verified false positives without losing any verified avalanche, raising precision to 11.1%. We provide a corrected susceptibility map, as an illustration of the method rather than an operational product, and openly document two artefacts detected in our own pipeline. The sampling rule we test is a convention inherited across this literature rather than the choice of any one study, and the corrections we propose apply equally to our own results.</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span approximately 23,000 km² in Himachal Pradesh and the Jammu &amp; Kashmir union territory, with elevations from 1,123 m to 6,329 m. The region receives heavy winter snowfall from westerly disturbances and has a documented history of avalanche impacts on the Leh–Manali highway and on settlements including Manali, Keylong and Udaipur. Potential release terrain (slope 28–60°) covers 11,699 km², about half the study area.</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1.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1" name="Picture 1"/>
            <wp:cNvGraphicFramePr>
              <a:graphicFrameLocks noChangeAspect="1"/>
            </wp:cNvGraphicFramePr>
            <a:graphic>
              <a:graphicData uri="http://schemas.openxmlformats.org/drawingml/2006/picture">
                <pic:pic>
                  <pic:nvPicPr>
                    <pic:cNvPr id="0" name="fig_correction_ladder.png"/>
                    <pic:cNvPicPr/>
                  </pic:nvPicPr>
                  <pic:blipFill>
                    <a:blip r:embed="rId9"/>
                    <a:stretch>
                      <a:fillRect/>
                    </a:stretch>
                  </pic:blipFill>
                  <pic:spPr>
                    <a:xfrm>
                      <a:off x="0" y="0"/>
                      <a:ext cx="5486400" cy="2938613"/>
                    </a:xfrm>
                    <a:prstGeom prst="rect"/>
                  </pic:spPr>
                </pic:pic>
              </a:graphicData>
            </a:graphic>
          </wp:inline>
        </w:drawing>
      </w:r>
    </w:p>
    <w:p>
      <w:pPr>
        <w:jc w:val="center"/>
      </w:pPr>
      <w:r>
        <w:rPr>
          <w:i/>
          <w:sz w:val="18"/>
        </w:rPr>
        <w:t>Figure 1. Cumulative effect of each correction. Label quality removes more apparent skill than sampling design and spatial validation combined.</w:t>
      </w:r>
    </w:p>
    <w:p>
      <w:pPr>
        <w:pStyle w:val="Heading2"/>
      </w:pPr>
      <w:r>
        <w:rPr>
          <w:color w:val="0B3D5C"/>
        </w:rPr>
        <w:t>4.2 Where reported performance comes from</w:t>
      </w:r>
    </w:p>
    <w:p>
      <w:r>
        <w:rPr>
          <w:b/>
          <w:sz w:val="19"/>
        </w:rPr>
        <w:t>Table 2.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2" name="Picture 2"/>
            <wp:cNvGraphicFramePr>
              <a:graphicFrameLocks noChangeAspect="1"/>
            </wp:cNvGraphicFramePr>
            <a:graphic>
              <a:graphicData uri="http://schemas.openxmlformats.org/drawingml/2006/picture">
                <pic:pic>
                  <pic:nvPicPr>
                    <pic:cNvPr id="0" name="fig_leakage_decomposition.png"/>
                    <pic:cNvPicPr/>
                  </pic:nvPicPr>
                  <pic:blipFill>
                    <a:blip r:embed="rId10"/>
                    <a:stretch>
                      <a:fillRect/>
                    </a:stretch>
                  </pic:blipFill>
                  <pic:spPr>
                    <a:xfrm>
                      <a:off x="0" y="0"/>
                      <a:ext cx="5486400" cy="3500387"/>
                    </a:xfrm>
                    <a:prstGeom prst="rect"/>
                  </pic:spPr>
                </pic:pic>
              </a:graphicData>
            </a:graphic>
          </wp:inline>
        </w:drawing>
      </w:r>
    </w:p>
    <w:p>
      <w:pPr>
        <w:jc w:val="center"/>
      </w:pPr>
      <w:r>
        <w:rPr>
          <w:i/>
          <w:sz w:val="18"/>
        </w:rPr>
        <w:t>Figure 2.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3.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3" name="Picture 3"/>
            <wp:cNvGraphicFramePr>
              <a:graphicFrameLocks noChangeAspect="1"/>
            </wp:cNvGraphicFramePr>
            <a:graphic>
              <a:graphicData uri="http://schemas.openxmlformats.org/drawingml/2006/picture">
                <pic:pic>
                  <pic:nvPicPr>
                    <pic:cNvPr id="0" name="fig_label_sensitivity.png"/>
                    <pic:cNvPicPr/>
                  </pic:nvPicPr>
                  <pic:blipFill>
                    <a:blip r:embed="rId11"/>
                    <a:stretch>
                      <a:fillRect/>
                    </a:stretch>
                  </pic:blipFill>
                  <pic:spPr>
                    <a:xfrm>
                      <a:off x="0" y="0"/>
                      <a:ext cx="5486400" cy="3592718"/>
                    </a:xfrm>
                    <a:prstGeom prst="rect"/>
                  </pic:spPr>
                </pic:pic>
              </a:graphicData>
            </a:graphic>
          </wp:inline>
        </w:drawing>
      </w:r>
    </w:p>
    <w:p>
      <w:pPr>
        <w:jc w:val="center"/>
      </w:pPr>
      <w:r>
        <w:rPr>
          <w:i/>
          <w:sz w:val="18"/>
        </w:rPr>
        <w:t>Figure 3. The sampling artefact is independent of inventory size and label confidence.</w:t>
      </w:r>
    </w:p>
    <w:p>
      <w:pPr>
        <w:pStyle w:val="Heading2"/>
      </w:pPr>
      <w:r>
        <w:rPr>
          <w:color w:val="0B3D5C"/>
        </w:rPr>
        <w:t>4.3 How many detections are real?</w:t>
      </w:r>
    </w:p>
    <w:p>
      <w:r>
        <w:rPr>
          <w:i w:val="0"/>
          <w:sz w:val="22"/>
        </w:rPr>
        <w:t>One hundred detections were drawn at random, twenty per month, and reviewed against Sentinel-2 imagery from each detection's own acquisition window, shuffled so the reviewer could not see which confidence tier a chip came from. They were scored twice. The first pass was unaided. The second applied an explicit rule, after the first pass revealed that a permissive reading of ambiguous chips had crept in: a detection counts as verified only if (i) snow is present on the slope in the BEFORE image, since a bare slope has no snowpack to release, (ii) a localized, rough, darker feature appears inside the outline in AFTER, and (iii) the surrounding slope is essentially unchanged between the two dates. Frames too cloudy or washed out to assess are recorded as unjudgeable and excluded rather than counted as failures.</w:t>
      </w:r>
    </w:p>
    <w:p>
      <w:r>
        <w:rPr>
          <w:b/>
          <w:sz w:val="19"/>
        </w:rPr>
        <w:t>Table 4. Blind optical verification of 100 Sentinel-1 detections, scored twice.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592"/>
          </w:tcPr>
          <w:p>
            <w:r/>
            <w:r>
              <w:rPr>
                <w:b/>
                <w:sz w:val="18"/>
              </w:rPr>
              <w:t>Scoring</w:t>
            </w:r>
          </w:p>
        </w:tc>
        <w:tc>
          <w:tcPr>
            <w:tcW w:type="dxa" w:w="1296"/>
          </w:tcPr>
          <w:p>
            <w:r/>
            <w:r>
              <w:rPr>
                <w:b/>
                <w:sz w:val="18"/>
              </w:rPr>
              <w:t>verified</w:t>
            </w:r>
          </w:p>
        </w:tc>
        <w:tc>
          <w:tcPr>
            <w:tcW w:type="dxa" w:w="1296"/>
          </w:tcPr>
          <w:p>
            <w:r/>
            <w:r>
              <w:rPr>
                <w:b/>
                <w:sz w:val="18"/>
              </w:rPr>
              <w:t>rejected</w:t>
            </w:r>
          </w:p>
        </w:tc>
        <w:tc>
          <w:tcPr>
            <w:tcW w:type="dxa" w:w="1440"/>
          </w:tcPr>
          <w:p>
            <w:r/>
            <w:r>
              <w:rPr>
                <w:b/>
                <w:sz w:val="18"/>
              </w:rPr>
              <w:t>unjudgeable</w:t>
            </w:r>
          </w:p>
        </w:tc>
        <w:tc>
          <w:tcPr>
            <w:tcW w:type="dxa" w:w="1440"/>
          </w:tcPr>
          <w:p>
            <w:r/>
            <w:r>
              <w:rPr>
                <w:b/>
                <w:sz w:val="18"/>
              </w:rPr>
              <w:t>precision</w:t>
            </w:r>
          </w:p>
        </w:tc>
        <w:tc>
          <w:tcPr>
            <w:tcW w:type="dxa" w:w="2016"/>
          </w:tcPr>
          <w:p>
            <w:r/>
            <w:r>
              <w:rPr>
                <w:b/>
                <w:sz w:val="18"/>
              </w:rPr>
              <w:t>95% CI</w:t>
            </w:r>
          </w:p>
        </w:tc>
      </w:tr>
      <w:tr>
        <w:tc>
          <w:tcPr>
            <w:tcW w:type="dxa" w:w="2592"/>
          </w:tcPr>
          <w:p>
            <w:r/>
            <w:r>
              <w:rPr>
                <w:sz w:val="18"/>
              </w:rPr>
              <w:t>first pass (unaided)</w:t>
            </w:r>
          </w:p>
        </w:tc>
        <w:tc>
          <w:tcPr>
            <w:tcW w:type="dxa" w:w="1296"/>
          </w:tcPr>
          <w:p>
            <w:r/>
            <w:r>
              <w:rPr>
                <w:sz w:val="18"/>
              </w:rPr>
              <w:t>24</w:t>
            </w:r>
          </w:p>
        </w:tc>
        <w:tc>
          <w:tcPr>
            <w:tcW w:type="dxa" w:w="1296"/>
          </w:tcPr>
          <w:p>
            <w:r/>
            <w:r>
              <w:rPr>
                <w:sz w:val="18"/>
              </w:rPr>
              <w:t>66</w:t>
            </w:r>
          </w:p>
        </w:tc>
        <w:tc>
          <w:tcPr>
            <w:tcW w:type="dxa" w:w="1440"/>
          </w:tcPr>
          <w:p>
            <w:r/>
            <w:r>
              <w:rPr>
                <w:sz w:val="18"/>
              </w:rPr>
              <w:t>10</w:t>
            </w:r>
          </w:p>
        </w:tc>
        <w:tc>
          <w:tcPr>
            <w:tcW w:type="dxa" w:w="1440"/>
          </w:tcPr>
          <w:p>
            <w:r/>
            <w:r>
              <w:rPr>
                <w:sz w:val="18"/>
              </w:rPr>
              <w:t>26.7%</w:t>
            </w:r>
          </w:p>
        </w:tc>
        <w:tc>
          <w:tcPr>
            <w:tcW w:type="dxa" w:w="2016"/>
          </w:tcPr>
          <w:p>
            <w:r/>
            <w:r>
              <w:rPr>
                <w:sz w:val="18"/>
              </w:rPr>
              <w:t>[18.6%, 36.6%]</w:t>
            </w:r>
          </w:p>
        </w:tc>
      </w:tr>
      <w:tr>
        <w:tc>
          <w:tcPr>
            <w:tcW w:type="dxa" w:w="2592"/>
          </w:tcPr>
          <w:p>
            <w:r/>
            <w:r>
              <w:rPr>
                <w:sz w:val="18"/>
              </w:rPr>
              <w:t>rule-based re-scoring</w:t>
            </w:r>
          </w:p>
        </w:tc>
        <w:tc>
          <w:tcPr>
            <w:tcW w:type="dxa" w:w="1296"/>
          </w:tcPr>
          <w:p>
            <w:r/>
            <w:r>
              <w:rPr>
                <w:sz w:val="18"/>
              </w:rPr>
              <w:t>3</w:t>
            </w:r>
          </w:p>
        </w:tc>
        <w:tc>
          <w:tcPr>
            <w:tcW w:type="dxa" w:w="1296"/>
          </w:tcPr>
          <w:p>
            <w:r/>
            <w:r>
              <w:rPr>
                <w:sz w:val="18"/>
              </w:rPr>
              <w:t>86</w:t>
            </w:r>
          </w:p>
        </w:tc>
        <w:tc>
          <w:tcPr>
            <w:tcW w:type="dxa" w:w="1440"/>
          </w:tcPr>
          <w:p>
            <w:r/>
            <w:r>
              <w:rPr>
                <w:sz w:val="18"/>
              </w:rPr>
              <w:t>11</w:t>
            </w:r>
          </w:p>
        </w:tc>
        <w:tc>
          <w:tcPr>
            <w:tcW w:type="dxa" w:w="1440"/>
          </w:tcPr>
          <w:p>
            <w:r/>
            <w:r>
              <w:rPr>
                <w:sz w:val="18"/>
              </w:rPr>
              <w:t>3.4%</w:t>
            </w:r>
          </w:p>
        </w:tc>
        <w:tc>
          <w:tcPr>
            <w:tcW w:type="dxa" w:w="2016"/>
          </w:tcPr>
          <w:p>
            <w:r/>
            <w:r>
              <w:rPr>
                <w:sz w:val="18"/>
              </w:rPr>
              <w:t>[1.2%, 9.4%]</w:t>
            </w:r>
          </w:p>
        </w:tc>
      </w:tr>
    </w:tbl>
    <w:p/>
    <w:p>
      <w:r>
        <w:rPr>
          <w:i w:val="0"/>
          <w:sz w:val="22"/>
        </w:rPr>
        <w:t>The two scorings agree on 79 of 100 chips (Cohen's kappa 0.49) and differ by almost an order of magnitude in the resulting precision. Every disagreement is a chip the first pass accepted and the rule rejects, and they fall into a few repeated patterns: ten where the slope is bare rock in the BEFORE image and acquires snow by the AFTER image — a snowfall, not a release — eight where the entire frame darkens as the snowpack ablates, two with no visible change inside the outline, and one whose BEFORE frame is blank cloud. We report both numbers because the gap between them is itself a result: optical verification of SAR avalanche detections is far less reliable than its routine absence from the literature would suggest, and a single unaided reviewer can inflate apparent precision severalfold.</w:t>
      </w:r>
    </w:p>
    <w:p>
      <w:r>
        <w:rPr>
          <w:i w:val="0"/>
          <w:sz w:val="22"/>
        </w:rPr>
        <w:t>Under the stated rule, precision of the unfiltered detections is 3.4% (3/89). Nearly every rejection is the same failure: between the two acquisitions the whole scene changes, as snow falls across it or melts off it, and bare or wetted ground raises backscatter exactly as avalanche debris does. Contrary to our expectation this is not confined to the ablation season — rejected detections include a February-to-March pair over which the snowpack disappeared completely, and ten January detections on slopes that were bare rock days earlier.</w:t>
      </w:r>
    </w:p>
    <w:p>
      <w:r>
        <w:rPr>
          <w:b/>
          <w:sz w:val="19"/>
        </w:rPr>
        <w:t>Table 5. Effect of the snow-persistence filter on the reviewed detections.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Reviewed as</w:t>
            </w:r>
          </w:p>
        </w:tc>
        <w:tc>
          <w:tcPr>
            <w:tcW w:type="dxa" w:w="864"/>
          </w:tcPr>
          <w:p>
            <w:r/>
            <w:r>
              <w:rPr>
                <w:b/>
                <w:sz w:val="18"/>
              </w:rPr>
              <w:t>n</w:t>
            </w:r>
          </w:p>
        </w:tc>
        <w:tc>
          <w:tcPr>
            <w:tcW w:type="dxa" w:w="2016"/>
          </w:tcPr>
          <w:p>
            <w:r/>
            <w:r>
              <w:rPr>
                <w:b/>
                <w:sz w:val="18"/>
              </w:rPr>
              <w:t>removed by filter</w:t>
            </w:r>
          </w:p>
        </w:tc>
        <w:tc>
          <w:tcPr>
            <w:tcW w:type="dxa" w:w="1440"/>
          </w:tcPr>
          <w:p>
            <w:r/>
            <w:r>
              <w:rPr>
                <w:b/>
                <w:sz w:val="18"/>
              </w:rPr>
              <w:t>% removed</w:t>
            </w:r>
          </w:p>
        </w:tc>
      </w:tr>
      <w:tr>
        <w:tc>
          <w:tcPr>
            <w:tcW w:type="dxa" w:w="3168"/>
          </w:tcPr>
          <w:p>
            <w:r/>
            <w:r>
              <w:rPr>
                <w:sz w:val="18"/>
              </w:rPr>
              <w:t>verified avalanche</w:t>
            </w:r>
          </w:p>
        </w:tc>
        <w:tc>
          <w:tcPr>
            <w:tcW w:type="dxa" w:w="864"/>
          </w:tcPr>
          <w:p>
            <w:r/>
            <w:r>
              <w:rPr>
                <w:sz w:val="18"/>
              </w:rPr>
              <w:t>3</w:t>
            </w:r>
          </w:p>
        </w:tc>
        <w:tc>
          <w:tcPr>
            <w:tcW w:type="dxa" w:w="2016"/>
          </w:tcPr>
          <w:p>
            <w:r/>
            <w:r>
              <w:rPr>
                <w:sz w:val="18"/>
              </w:rPr>
              <w:t>0</w:t>
            </w:r>
          </w:p>
        </w:tc>
        <w:tc>
          <w:tcPr>
            <w:tcW w:type="dxa" w:w="1440"/>
          </w:tcPr>
          <w:p>
            <w:r/>
            <w:r>
              <w:rPr>
                <w:sz w:val="18"/>
              </w:rPr>
              <w:t>0%</w:t>
            </w:r>
          </w:p>
        </w:tc>
      </w:tr>
      <w:tr>
        <w:tc>
          <w:tcPr>
            <w:tcW w:type="dxa" w:w="3168"/>
          </w:tcPr>
          <w:p>
            <w:r/>
            <w:r>
              <w:rPr>
                <w:sz w:val="18"/>
              </w:rPr>
              <w:t>rejected (false positive)</w:t>
            </w:r>
          </w:p>
        </w:tc>
        <w:tc>
          <w:tcPr>
            <w:tcW w:type="dxa" w:w="864"/>
          </w:tcPr>
          <w:p>
            <w:r/>
            <w:r>
              <w:rPr>
                <w:sz w:val="18"/>
              </w:rPr>
              <w:t>86</w:t>
            </w:r>
          </w:p>
        </w:tc>
        <w:tc>
          <w:tcPr>
            <w:tcW w:type="dxa" w:w="2016"/>
          </w:tcPr>
          <w:p>
            <w:r/>
            <w:r>
              <w:rPr>
                <w:sz w:val="18"/>
              </w:rPr>
              <w:t>62</w:t>
            </w:r>
          </w:p>
        </w:tc>
        <w:tc>
          <w:tcPr>
            <w:tcW w:type="dxa" w:w="1440"/>
          </w:tcPr>
          <w:p>
            <w:r/>
            <w:r>
              <w:rPr>
                <w:sz w:val="18"/>
              </w:rPr>
              <w:t>72%</w:t>
            </w:r>
          </w:p>
        </w:tc>
      </w:tr>
      <w:tr>
        <w:tc>
          <w:tcPr>
            <w:tcW w:type="dxa" w:w="3168"/>
          </w:tcPr>
          <w:p>
            <w:r/>
            <w:r>
              <w:rPr>
                <w:sz w:val="18"/>
              </w:rPr>
              <w:t>unjudgeable</w:t>
            </w:r>
          </w:p>
        </w:tc>
        <w:tc>
          <w:tcPr>
            <w:tcW w:type="dxa" w:w="864"/>
          </w:tcPr>
          <w:p>
            <w:r/>
            <w:r>
              <w:rPr>
                <w:sz w:val="18"/>
              </w:rPr>
              <w:t>11</w:t>
            </w:r>
          </w:p>
        </w:tc>
        <w:tc>
          <w:tcPr>
            <w:tcW w:type="dxa" w:w="2016"/>
          </w:tcPr>
          <w:p>
            <w:r/>
            <w:r>
              <w:rPr>
                <w:sz w:val="18"/>
              </w:rPr>
              <w:t>5</w:t>
            </w:r>
          </w:p>
        </w:tc>
        <w:tc>
          <w:tcPr>
            <w:tcW w:type="dxa" w:w="1440"/>
          </w:tcPr>
          <w:p>
            <w:r/>
            <w:r>
              <w:rPr>
                <w:sz w:val="18"/>
              </w:rPr>
              <w:t>45%</w:t>
            </w:r>
          </w:p>
        </w:tc>
      </w:tr>
    </w:tbl>
    <w:p/>
    <w:p>
      <w:r>
        <w:rPr>
          <w:i w:val="0"/>
          <w:sz w:val="22"/>
        </w:rPr>
        <w:t>Requiring MODIS snow cover to persist after each event removes 72% of the verified false positives and none of the three verified avalanches, raising precision to 11.1% and shrinking the inventory from 7,055 to 2,064 events. With so few confirmed avalanches the precision interval is wide and the point estimate should not be read closely; the filter's selectivity — which failure mode it removes and which detections it preserves — is the more robust quantity, and it is the one a susceptibility study depends on.</w:t>
      </w:r>
    </w:p>
    <w:p>
      <w:r>
        <w:rPr>
          <w:i w:val="0"/>
          <w:sz w:val="22"/>
        </w:rPr>
        <w:t>We report these figures because this literature does not. Published inventories in the region carry no precision estimate, so the proportion of training labels that are genuine avalanches is unknown in every study we reproduce — possibly far higher than ours, since those inventories are field-verified, but unknown nonetheless. Section 4.1 shows why that matters less than it appears for the central result and more than it appears for the maps built on such inventories.</w:t>
      </w:r>
    </w:p>
    <w:p>
      <w:pPr>
        <w:pStyle w:val="Heading2"/>
      </w:pPr>
      <w:r>
        <w:rPr>
          <w:color w:val="0B3D5C"/>
        </w:rPr>
        <w:t>4.4 Model comparison under honest validation</w:t>
      </w:r>
    </w:p>
    <w:p>
      <w:r>
        <w:rPr>
          <w:b/>
          <w:sz w:val="19"/>
        </w:rPr>
        <w:t>Table 6. Model performance on the corrected inventory with multi-scale predictors, at a cross-validated decision threshold.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296"/>
          </w:tcPr>
          <w:p>
            <w:r/>
            <w:r>
              <w:rPr>
                <w:b/>
                <w:sz w:val="18"/>
              </w:rPr>
              <w:t>Accuracy</w:t>
            </w:r>
          </w:p>
        </w:tc>
        <w:tc>
          <w:tcPr>
            <w:tcW w:type="dxa" w:w="1152"/>
          </w:tcPr>
          <w:p>
            <w:r/>
            <w:r>
              <w:rPr>
                <w:b/>
                <w:sz w:val="18"/>
              </w:rPr>
              <w:t>Recall</w:t>
            </w:r>
          </w:p>
        </w:tc>
        <w:tc>
          <w:tcPr>
            <w:tcW w:type="dxa" w:w="1008"/>
          </w:tcPr>
          <w:p>
            <w:r/>
            <w:r>
              <w:rPr>
                <w:b/>
                <w:sz w:val="18"/>
              </w:rPr>
              <w:t>Kappa</w:t>
            </w:r>
          </w:p>
        </w:tc>
      </w:tr>
      <w:tr>
        <w:tc>
          <w:tcPr>
            <w:tcW w:type="dxa" w:w="1872"/>
          </w:tcPr>
          <w:p>
            <w:r/>
            <w:r>
              <w:rPr>
                <w:sz w:val="18"/>
              </w:rPr>
              <w:t>LightGBM</w:t>
            </w:r>
          </w:p>
        </w:tc>
        <w:tc>
          <w:tcPr>
            <w:tcW w:type="dxa" w:w="1584"/>
          </w:tcPr>
          <w:p>
            <w:r/>
            <w:r>
              <w:rPr>
                <w:sz w:val="18"/>
              </w:rPr>
              <w:t>0.970</w:t>
            </w:r>
          </w:p>
        </w:tc>
        <w:tc>
          <w:tcPr>
            <w:tcW w:type="dxa" w:w="2448"/>
          </w:tcPr>
          <w:p>
            <w:r/>
            <w:r>
              <w:rPr>
                <w:sz w:val="18"/>
              </w:rPr>
              <w:t>0.856 [0.844, 0.866]</w:t>
            </w:r>
          </w:p>
        </w:tc>
        <w:tc>
          <w:tcPr>
            <w:tcW w:type="dxa" w:w="1296"/>
          </w:tcPr>
          <w:p>
            <w:r/>
            <w:r>
              <w:rPr>
                <w:sz w:val="18"/>
              </w:rPr>
              <w:t>0.772</w:t>
            </w:r>
          </w:p>
        </w:tc>
        <w:tc>
          <w:tcPr>
            <w:tcW w:type="dxa" w:w="1152"/>
          </w:tcPr>
          <w:p>
            <w:r/>
            <w:r>
              <w:rPr>
                <w:sz w:val="18"/>
              </w:rPr>
              <w:t>0.730</w:t>
            </w:r>
          </w:p>
        </w:tc>
        <w:tc>
          <w:tcPr>
            <w:tcW w:type="dxa" w:w="1008"/>
          </w:tcPr>
          <w:p>
            <w:r/>
            <w:r>
              <w:rPr>
                <w:sz w:val="18"/>
              </w:rPr>
              <w:t>0.543</w:t>
            </w:r>
          </w:p>
        </w:tc>
      </w:tr>
      <w:tr>
        <w:tc>
          <w:tcPr>
            <w:tcW w:type="dxa" w:w="1872"/>
          </w:tcPr>
          <w:p>
            <w:r/>
            <w:r>
              <w:rPr>
                <w:sz w:val="18"/>
              </w:rPr>
              <w:t>XGBoost</w:t>
            </w:r>
          </w:p>
        </w:tc>
        <w:tc>
          <w:tcPr>
            <w:tcW w:type="dxa" w:w="1584"/>
          </w:tcPr>
          <w:p>
            <w:r/>
            <w:r>
              <w:rPr>
                <w:sz w:val="18"/>
              </w:rPr>
              <w:t>0.967</w:t>
            </w:r>
          </w:p>
        </w:tc>
        <w:tc>
          <w:tcPr>
            <w:tcW w:type="dxa" w:w="2448"/>
          </w:tcPr>
          <w:p>
            <w:r/>
            <w:r>
              <w:rPr>
                <w:sz w:val="18"/>
              </w:rPr>
              <w:t>0.866 [0.855, 0.876]</w:t>
            </w:r>
          </w:p>
        </w:tc>
        <w:tc>
          <w:tcPr>
            <w:tcW w:type="dxa" w:w="1296"/>
          </w:tcPr>
          <w:p>
            <w:r/>
            <w:r>
              <w:rPr>
                <w:sz w:val="18"/>
              </w:rPr>
              <w:t>0.784</w:t>
            </w:r>
          </w:p>
        </w:tc>
        <w:tc>
          <w:tcPr>
            <w:tcW w:type="dxa" w:w="1152"/>
          </w:tcPr>
          <w:p>
            <w:r/>
            <w:r>
              <w:rPr>
                <w:sz w:val="18"/>
              </w:rPr>
              <w:t>0.758</w:t>
            </w:r>
          </w:p>
        </w:tc>
        <w:tc>
          <w:tcPr>
            <w:tcW w:type="dxa" w:w="1008"/>
          </w:tcPr>
          <w:p>
            <w:r/>
            <w:r>
              <w:rPr>
                <w:sz w:val="18"/>
              </w:rPr>
              <w:t>0.569</w:t>
            </w:r>
          </w:p>
        </w:tc>
      </w:tr>
      <w:tr>
        <w:tc>
          <w:tcPr>
            <w:tcW w:type="dxa" w:w="1872"/>
          </w:tcPr>
          <w:p>
            <w:r/>
            <w:r>
              <w:rPr>
                <w:sz w:val="18"/>
              </w:rPr>
              <w:t>Random Forest</w:t>
            </w:r>
          </w:p>
        </w:tc>
        <w:tc>
          <w:tcPr>
            <w:tcW w:type="dxa" w:w="1584"/>
          </w:tcPr>
          <w:p>
            <w:r/>
            <w:r>
              <w:rPr>
                <w:sz w:val="18"/>
              </w:rPr>
              <w:t>0.966</w:t>
            </w:r>
          </w:p>
        </w:tc>
        <w:tc>
          <w:tcPr>
            <w:tcW w:type="dxa" w:w="2448"/>
          </w:tcPr>
          <w:p>
            <w:r/>
            <w:r>
              <w:rPr>
                <w:sz w:val="18"/>
              </w:rPr>
              <w:t>0.847 [0.835, 0.858]</w:t>
            </w:r>
          </w:p>
        </w:tc>
        <w:tc>
          <w:tcPr>
            <w:tcW w:type="dxa" w:w="1296"/>
          </w:tcPr>
          <w:p>
            <w:r/>
            <w:r>
              <w:rPr>
                <w:sz w:val="18"/>
              </w:rPr>
              <w:t>0.771</w:t>
            </w:r>
          </w:p>
        </w:tc>
        <w:tc>
          <w:tcPr>
            <w:tcW w:type="dxa" w:w="1152"/>
          </w:tcPr>
          <w:p>
            <w:r/>
            <w:r>
              <w:rPr>
                <w:sz w:val="18"/>
              </w:rPr>
              <w:t>0.724</w:t>
            </w:r>
          </w:p>
        </w:tc>
        <w:tc>
          <w:tcPr>
            <w:tcW w:type="dxa" w:w="1008"/>
          </w:tcPr>
          <w:p>
            <w:r/>
            <w:r>
              <w:rPr>
                <w:sz w:val="18"/>
              </w:rPr>
              <w:t>0.542</w:t>
            </w:r>
          </w:p>
        </w:tc>
      </w:tr>
      <w:tr>
        <w:tc>
          <w:tcPr>
            <w:tcW w:type="dxa" w:w="1872"/>
          </w:tcPr>
          <w:p>
            <w:r/>
            <w:r>
              <w:rPr>
                <w:sz w:val="18"/>
              </w:rPr>
              <w:t>SVM (RBF)</w:t>
            </w:r>
          </w:p>
        </w:tc>
        <w:tc>
          <w:tcPr>
            <w:tcW w:type="dxa" w:w="1584"/>
          </w:tcPr>
          <w:p>
            <w:r/>
            <w:r>
              <w:rPr>
                <w:sz w:val="18"/>
              </w:rPr>
              <w:t>0.882</w:t>
            </w:r>
          </w:p>
        </w:tc>
        <w:tc>
          <w:tcPr>
            <w:tcW w:type="dxa" w:w="2448"/>
          </w:tcPr>
          <w:p>
            <w:r/>
            <w:r>
              <w:rPr>
                <w:sz w:val="18"/>
              </w:rPr>
              <w:t>0.819 [0.807, 0.831]</w:t>
            </w:r>
          </w:p>
        </w:tc>
        <w:tc>
          <w:tcPr>
            <w:tcW w:type="dxa" w:w="1296"/>
          </w:tcPr>
          <w:p>
            <w:r/>
            <w:r>
              <w:rPr>
                <w:sz w:val="18"/>
              </w:rPr>
              <w:t>0.752</w:t>
            </w:r>
          </w:p>
        </w:tc>
        <w:tc>
          <w:tcPr>
            <w:tcW w:type="dxa" w:w="1152"/>
          </w:tcPr>
          <w:p>
            <w:r/>
            <w:r>
              <w:rPr>
                <w:sz w:val="18"/>
              </w:rPr>
              <w:t>0.698</w:t>
            </w:r>
          </w:p>
        </w:tc>
        <w:tc>
          <w:tcPr>
            <w:tcW w:type="dxa" w:w="1008"/>
          </w:tcPr>
          <w:p>
            <w:r/>
            <w:r>
              <w:rPr>
                <w:sz w:val="18"/>
              </w:rPr>
              <w:t>0.504</w:t>
            </w:r>
          </w:p>
        </w:tc>
      </w:tr>
      <w:tr>
        <w:tc>
          <w:tcPr>
            <w:tcW w:type="dxa" w:w="1872"/>
          </w:tcPr>
          <w:p>
            <w:r/>
            <w:r>
              <w:rPr>
                <w:sz w:val="18"/>
              </w:rPr>
              <w:t>Logistic Regression</w:t>
            </w:r>
          </w:p>
        </w:tc>
        <w:tc>
          <w:tcPr>
            <w:tcW w:type="dxa" w:w="1584"/>
          </w:tcPr>
          <w:p>
            <w:r/>
            <w:r>
              <w:rPr>
                <w:sz w:val="18"/>
              </w:rPr>
              <w:t>0.784</w:t>
            </w:r>
          </w:p>
        </w:tc>
        <w:tc>
          <w:tcPr>
            <w:tcW w:type="dxa" w:w="2448"/>
          </w:tcPr>
          <w:p>
            <w:r/>
            <w:r>
              <w:rPr>
                <w:sz w:val="18"/>
              </w:rPr>
              <w:t>0.741 [0.726, 0.755]</w:t>
            </w:r>
          </w:p>
        </w:tc>
        <w:tc>
          <w:tcPr>
            <w:tcW w:type="dxa" w:w="1296"/>
          </w:tcPr>
          <w:p>
            <w:r/>
            <w:r>
              <w:rPr>
                <w:sz w:val="18"/>
              </w:rPr>
              <w:t>0.678</w:t>
            </w:r>
          </w:p>
        </w:tc>
        <w:tc>
          <w:tcPr>
            <w:tcW w:type="dxa" w:w="1152"/>
          </w:tcPr>
          <w:p>
            <w:r/>
            <w:r>
              <w:rPr>
                <w:sz w:val="18"/>
              </w:rPr>
              <w:t>0.698</w:t>
            </w:r>
          </w:p>
        </w:tc>
        <w:tc>
          <w:tcPr>
            <w:tcW w:type="dxa" w:w="1008"/>
          </w:tcPr>
          <w:p>
            <w:r/>
            <w:r>
              <w:rPr>
                <w:sz w:val="18"/>
              </w:rPr>
              <w:t>0.356</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4" name="Picture 4"/>
            <wp:cNvGraphicFramePr>
              <a:graphicFrameLocks noChangeAspect="1"/>
            </wp:cNvGraphicFramePr>
            <a:graphic>
              <a:graphicData uri="http://schemas.openxmlformats.org/drawingml/2006/picture">
                <pic:pic>
                  <pic:nvPicPr>
                    <pic:cNvPr id="0" name="fig_model_ci.png"/>
                    <pic:cNvPicPr/>
                  </pic:nvPicPr>
                  <pic:blipFill>
                    <a:blip r:embed="rId12"/>
                    <a:stretch>
                      <a:fillRect/>
                    </a:stretch>
                  </pic:blipFill>
                  <pic:spPr>
                    <a:xfrm>
                      <a:off x="0" y="0"/>
                      <a:ext cx="4937760" cy="2758558"/>
                    </a:xfrm>
                    <a:prstGeom prst="rect"/>
                  </pic:spPr>
                </pic:pic>
              </a:graphicData>
            </a:graphic>
          </wp:inline>
        </w:drawing>
      </w:r>
    </w:p>
    <w:p>
      <w:pPr>
        <w:jc w:val="center"/>
      </w:pPr>
      <w:r>
        <w:rPr>
          <w:i/>
          <w:sz w:val="18"/>
        </w:rPr>
        <w:t>Figure 4. Model ranking with bootstrap confidence intervals.</w:t>
      </w:r>
    </w:p>
    <w:p>
      <w:pPr>
        <w:pStyle w:val="Heading2"/>
      </w:pPr>
      <w:r>
        <w:rPr>
          <w:color w:val="0B3D5C"/>
        </w:rPr>
        <w:t>4.5 Coarse predictors encode geography, not snowpack</w:t>
      </w:r>
    </w:p>
    <w:p>
      <w:r>
        <w:rPr>
          <w:b/>
          <w:sz w:val="19"/>
        </w:rPr>
        <w:t>Table 7.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5" name="Picture 5"/>
            <wp:cNvGraphicFramePr>
              <a:graphicFrameLocks noChangeAspect="1"/>
            </wp:cNvGraphicFramePr>
            <a:graphic>
              <a:graphicData uri="http://schemas.openxmlformats.org/drawingml/2006/picture">
                <pic:pic>
                  <pic:nvPicPr>
                    <pic:cNvPr id="0" name="fig_geography_ablation.png"/>
                    <pic:cNvPicPr/>
                  </pic:nvPicPr>
                  <pic:blipFill>
                    <a:blip r:embed="rId13"/>
                    <a:stretch>
                      <a:fillRect/>
                    </a:stretch>
                  </pic:blipFill>
                  <pic:spPr>
                    <a:xfrm>
                      <a:off x="0" y="0"/>
                      <a:ext cx="5852160" cy="2784168"/>
                    </a:xfrm>
                    <a:prstGeom prst="rect"/>
                  </pic:spPr>
                </pic:pic>
              </a:graphicData>
            </a:graphic>
          </wp:inline>
        </w:drawing>
      </w:r>
    </w:p>
    <w:p>
      <w:pPr>
        <w:jc w:val="center"/>
      </w:pPr>
      <w:r>
        <w:rPr>
          <w:i/>
          <w:sz w:val="18"/>
        </w:rPr>
        <w:t>Figure 5. Coarse predictors are interchangeable with coordinates.</w:t>
      </w:r>
    </w:p>
    <w:p>
      <w:pPr>
        <w:pStyle w:val="Heading2"/>
      </w:pPr>
      <w:r>
        <w:rPr>
          <w:color w:val="0B3D5C"/>
        </w:rPr>
        <w:t>4.6 Reported AUC depends on the background sampling ratio</w:t>
      </w:r>
    </w:p>
    <w:p>
      <w:r>
        <w:rPr>
          <w:b/>
          <w:sz w:val="19"/>
        </w:rPr>
        <w:t>Table 8.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Spatial transferability</w:t>
      </w:r>
    </w:p>
    <w:p>
      <w:r>
        <w:rPr>
          <w:b/>
          <w:sz w:val="19"/>
        </w:rPr>
        <w:t>Table 9.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6" name="Picture 6"/>
            <wp:cNvGraphicFramePr>
              <a:graphicFrameLocks noChangeAspect="1"/>
            </wp:cNvGraphicFramePr>
            <a:graphic>
              <a:graphicData uri="http://schemas.openxmlformats.org/drawingml/2006/picture">
                <pic:pic>
                  <pic:nvPicPr>
                    <pic:cNvPr id="0" name="fig_transfer_shap.png"/>
                    <pic:cNvPicPr/>
                  </pic:nvPicPr>
                  <pic:blipFill>
                    <a:blip r:embed="rId14"/>
                    <a:stretch>
                      <a:fillRect/>
                    </a:stretch>
                  </pic:blipFill>
                  <pic:spPr>
                    <a:xfrm>
                      <a:off x="0" y="0"/>
                      <a:ext cx="6035040" cy="2366476"/>
                    </a:xfrm>
                    <a:prstGeom prst="rect"/>
                  </pic:spPr>
                </pic:pic>
              </a:graphicData>
            </a:graphic>
          </wp:inline>
        </w:drawing>
      </w:r>
    </w:p>
    <w:p>
      <w:pPr>
        <w:jc w:val="center"/>
      </w:pPr>
      <w:r>
        <w:rPr>
          <w:i/>
          <w:sz w:val="18"/>
        </w:rPr>
        <w:t>Figure 6. Sub-basin transferability (left) and SHAP predictor importance (right).</w:t>
      </w:r>
    </w:p>
    <w:p>
      <w:pPr>
        <w:pStyle w:val="Heading2"/>
      </w:pPr>
      <w:r>
        <w:rPr>
          <w:color w:val="0B3D5C"/>
        </w:rPr>
        <w:t>4.8 The operating point shifts under spatial validation</w:t>
      </w:r>
    </w:p>
    <w:p>
      <w:r>
        <w:rPr>
          <w:i w:val="0"/>
          <w:sz w:val="22"/>
        </w:rPr>
        <w:t>Thresholding at 0.5 is conventional but carries no meaning for a presence-background model fitted at an arbitrary prevalence, and under spatial-block validation it is actively misleading. Across held-out blocks the model's scores for NEGATIVES are essentially unchanged (mean 0.167 under random folds, 0.162 under spatial blocks) while scores for POSITIVES fall sharply (0.849 to 0.584). Ranking is unaffected — this is why AUC is unchanged — but 41.6% of genuine avalanche sites then score below 0.5 and are classified as absence.</w:t>
      </w:r>
    </w:p>
    <w:p>
      <w:r>
        <w:rPr>
          <w:b/>
          <w:sz w:val="19"/>
        </w:rPr>
        <w:t>Table 10. Effect of the decision threshold under spatial-block validation (XGBoost).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168"/>
          </w:tcPr>
          <w:p>
            <w:r/>
            <w:r>
              <w:rPr>
                <w:b/>
                <w:sz w:val="18"/>
              </w:rPr>
              <w:t>Threshold</w:t>
            </w:r>
          </w:p>
        </w:tc>
        <w:tc>
          <w:tcPr>
            <w:tcW w:type="dxa" w:w="1296"/>
          </w:tcPr>
          <w:p>
            <w:r/>
            <w:r>
              <w:rPr>
                <w:b/>
                <w:sz w:val="18"/>
              </w:rPr>
              <w:t>Recall</w:t>
            </w:r>
          </w:p>
        </w:tc>
        <w:tc>
          <w:tcPr>
            <w:tcW w:type="dxa" w:w="1440"/>
          </w:tcPr>
          <w:p>
            <w:r/>
            <w:r>
              <w:rPr>
                <w:b/>
                <w:sz w:val="18"/>
              </w:rPr>
              <w:t>Precision</w:t>
            </w:r>
          </w:p>
        </w:tc>
        <w:tc>
          <w:tcPr>
            <w:tcW w:type="dxa" w:w="1440"/>
          </w:tcPr>
          <w:p>
            <w:r/>
            <w:r>
              <w:rPr>
                <w:b/>
                <w:sz w:val="18"/>
              </w:rPr>
              <w:t>Accuracy</w:t>
            </w:r>
          </w:p>
        </w:tc>
        <w:tc>
          <w:tcPr>
            <w:tcW w:type="dxa" w:w="1152"/>
          </w:tcPr>
          <w:p>
            <w:r/>
            <w:r>
              <w:rPr>
                <w:b/>
                <w:sz w:val="18"/>
              </w:rPr>
              <w:t>Kappa</w:t>
            </w:r>
          </w:p>
        </w:tc>
      </w:tr>
      <w:tr>
        <w:tc>
          <w:tcPr>
            <w:tcW w:type="dxa" w:w="3168"/>
          </w:tcPr>
          <w:p>
            <w:r/>
            <w:r>
              <w:rPr>
                <w:sz w:val="18"/>
              </w:rPr>
              <w:t>0.50 (convention)</w:t>
            </w:r>
          </w:p>
        </w:tc>
        <w:tc>
          <w:tcPr>
            <w:tcW w:type="dxa" w:w="1296"/>
          </w:tcPr>
          <w:p>
            <w:r/>
            <w:r>
              <w:rPr>
                <w:sz w:val="18"/>
              </w:rPr>
              <w:t>0.584</w:t>
            </w:r>
          </w:p>
        </w:tc>
        <w:tc>
          <w:tcPr>
            <w:tcW w:type="dxa" w:w="1440"/>
          </w:tcPr>
          <w:p>
            <w:r/>
            <w:r>
              <w:rPr>
                <w:sz w:val="18"/>
              </w:rPr>
              <w:t>0.849</w:t>
            </w:r>
          </w:p>
        </w:tc>
        <w:tc>
          <w:tcPr>
            <w:tcW w:type="dxa" w:w="1440"/>
          </w:tcPr>
          <w:p>
            <w:r/>
            <w:r>
              <w:rPr>
                <w:sz w:val="18"/>
              </w:rPr>
              <w:t>0.740</w:t>
            </w:r>
          </w:p>
        </w:tc>
        <w:tc>
          <w:tcPr>
            <w:tcW w:type="dxa" w:w="1152"/>
          </w:tcPr>
          <w:p>
            <w:r/>
            <w:r>
              <w:rPr>
                <w:sz w:val="18"/>
              </w:rPr>
              <w:t>0.480</w:t>
            </w:r>
          </w:p>
        </w:tc>
      </w:tr>
      <w:tr>
        <w:tc>
          <w:tcPr>
            <w:tcW w:type="dxa" w:w="3168"/>
          </w:tcPr>
          <w:p>
            <w:r/>
            <w:r>
              <w:rPr>
                <w:sz w:val="18"/>
              </w:rPr>
              <w:t>0.31 (Youden J, cross-validated)</w:t>
            </w:r>
          </w:p>
        </w:tc>
        <w:tc>
          <w:tcPr>
            <w:tcW w:type="dxa" w:w="1296"/>
          </w:tcPr>
          <w:p>
            <w:r/>
            <w:r>
              <w:rPr>
                <w:sz w:val="18"/>
              </w:rPr>
              <w:t>0.700</w:t>
            </w:r>
          </w:p>
        </w:tc>
        <w:tc>
          <w:tcPr>
            <w:tcW w:type="dxa" w:w="1440"/>
          </w:tcPr>
          <w:p>
            <w:r/>
            <w:r>
              <w:rPr>
                <w:sz w:val="18"/>
              </w:rPr>
              <w:t>0.790</w:t>
            </w:r>
          </w:p>
        </w:tc>
        <w:tc>
          <w:tcPr>
            <w:tcW w:type="dxa" w:w="1440"/>
          </w:tcPr>
          <w:p>
            <w:r/>
            <w:r>
              <w:rPr>
                <w:sz w:val="18"/>
              </w:rPr>
              <w:t>0.756</w:t>
            </w:r>
          </w:p>
        </w:tc>
        <w:tc>
          <w:tcPr>
            <w:tcW w:type="dxa" w:w="1152"/>
          </w:tcPr>
          <w:p>
            <w:r/>
            <w:r>
              <w:rPr>
                <w:sz w:val="18"/>
              </w:rPr>
              <w:t>0.513</w:t>
            </w:r>
          </w:p>
        </w:tc>
      </w:tr>
      <w:tr>
        <w:tc>
          <w:tcPr>
            <w:tcW w:type="dxa" w:w="3168"/>
          </w:tcPr>
          <w:p>
            <w:r/>
            <w:r>
              <w:rPr>
                <w:sz w:val="18"/>
              </w:rPr>
              <w:t>0.13 (maximum F1)</w:t>
            </w:r>
          </w:p>
        </w:tc>
        <w:tc>
          <w:tcPr>
            <w:tcW w:type="dxa" w:w="1296"/>
          </w:tcPr>
          <w:p>
            <w:r/>
            <w:r>
              <w:rPr>
                <w:sz w:val="18"/>
              </w:rPr>
              <w:t>0.827</w:t>
            </w:r>
          </w:p>
        </w:tc>
        <w:tc>
          <w:tcPr>
            <w:tcW w:type="dxa" w:w="1440"/>
          </w:tcPr>
          <w:p>
            <w:r/>
            <w:r>
              <w:rPr>
                <w:sz w:val="18"/>
              </w:rPr>
              <w:t>0.704</w:t>
            </w:r>
          </w:p>
        </w:tc>
        <w:tc>
          <w:tcPr>
            <w:tcW w:type="dxa" w:w="1440"/>
          </w:tcPr>
          <w:p>
            <w:r/>
            <w:r>
              <w:rPr>
                <w:sz w:val="18"/>
              </w:rPr>
              <w:t>0.740</w:t>
            </w:r>
          </w:p>
        </w:tc>
        <w:tc>
          <w:tcPr>
            <w:tcW w:type="dxa" w:w="1152"/>
          </w:tcPr>
          <w:p>
            <w:r/>
            <w:r>
              <w:rPr>
                <w:sz w:val="18"/>
              </w:rPr>
              <w:t>—</w:t>
            </w:r>
          </w:p>
        </w:tc>
      </w:tr>
    </w:tbl>
    <w:p/>
    <w:p>
      <w:r>
        <w:rPr>
          <w:i w:val="0"/>
          <w:sz w:val="22"/>
        </w:rPr>
        <w:t>Selecting the threshold from the cross-validation rather than from convention raises recall from 0.584 to 0.700 and improves accuracy and kappa at the same time. All classified results reported here use a cross-validated Youden threshold. The implication for anyone deploying such a map is that a model validated on nearby terrain and then applied to an unmapped basin will systematically under-predict hazard at a fixed 0.5 cut: the operating point must travel with the model.</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11.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2"/>
      </w:pPr>
      <w:r>
        <w:rPr>
          <w:color w:val="0B3D5C"/>
        </w:rPr>
        <w:t>4.10 Calibration</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4.11 Illustrative application: susceptibility map</w:t>
      </w:r>
    </w:p>
    <w:p>
      <w:r>
        <w:rPr>
          <w:i w:val="0"/>
          <w:sz w:val="22"/>
        </w:rPr>
        <w:t>The map below applies XGBoost with terrain-matched sampling, restricted to potential release areas (slope 28–60°), covering 11,699 km². It is included to show what the corrected procedure produces and to make the domain question concrete; it is NOT offered as an operational susceptibility product. Section 4.2 measures the precision of the inventory it is trained on, and at that precision the map should be read as a demonstration of method rather than as a statement about where avalanches occur.</w:t>
      </w:r>
    </w:p>
    <w:p>
      <w:r>
        <w:rPr>
          <w:i w:val="0"/>
          <w:sz w:val="22"/>
        </w:rPr>
        <w:t>Restricting the domain matters for comparability: classifying valley floors and lake surfaces as low susceptibility inflates the denominator, so the commonly quoted statistic 'x% of the basin is highly susceptible' cannot be compared between studies unless each states its domain. The published study reports ~8% of the region as highly susceptible over the whole basin; the figures below are percentages of potential release area, which is the stricter denominator.</w:t>
      </w:r>
    </w:p>
    <w:p>
      <w:r>
        <w:rPr>
          <w:i w:val="0"/>
          <w:sz w:val="22"/>
        </w:rPr>
        <w:t>Of the 1.44 million release-area cells mapped, 67.7% are predicted confidently (ensemble standard deviation at or below 0.10), 3.8% fall in the highest susceptibility class, and 2.2% are both. The remaining third of the release terrain is where the model declines to commit, and a map that reported only panel (a) would present those cells with the same authority as the rest.</w:t>
      </w:r>
    </w:p>
    <w:p>
      <w:r>
        <w:rPr>
          <w:b/>
          <w:sz w:val="19"/>
        </w:rPr>
        <w:t>Table 12.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6035040" cy="2487307"/>
            <wp:docPr id="7" name="Picture 7"/>
            <wp:cNvGraphicFramePr>
              <a:graphicFrameLocks noChangeAspect="1"/>
            </wp:cNvGraphicFramePr>
            <a:graphic>
              <a:graphicData uri="http://schemas.openxmlformats.org/drawingml/2006/picture">
                <pic:pic>
                  <pic:nvPicPr>
                    <pic:cNvPr id="0" name="fig_map_susceptibility_uncertainty.png"/>
                    <pic:cNvPicPr/>
                  </pic:nvPicPr>
                  <pic:blipFill>
                    <a:blip r:embed="rId15"/>
                    <a:stretch>
                      <a:fillRect/>
                    </a:stretch>
                  </pic:blipFill>
                  <pic:spPr>
                    <a:xfrm>
                      <a:off x="0" y="0"/>
                      <a:ext cx="6035040" cy="2487307"/>
                    </a:xfrm>
                    <a:prstGeom prst="rect"/>
                  </pic:spPr>
                </pic:pic>
              </a:graphicData>
            </a:graphic>
          </wp:inline>
        </w:drawing>
      </w:r>
    </w:p>
    <w:p>
      <w:pPr>
        <w:jc w:val="center"/>
      </w:pPr>
      <w:r>
        <w:rPr>
          <w:i/>
          <w:sz w:val="18"/>
        </w:rPr>
        <w:t>Figure 7. Avalanche susceptibility (a) and the ensemble uncertainty attached to it (b), both restricted to potential release areas. Published susceptibility maps give the left panel alone, so a reader cannot distinguish a well-constrained hotspot from a guess.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and it is not a claim that any published model is incorrectly implemented. A classifier trained against flat, vegetated, urban and cropland absences does what it was asked to do; the difficulty is that the question it answers — can steep snow-covered terrain be told apart from flat green valley floor — is not the question a susceptibility map is read as answering. The same applies to our own models, which is why Section 4.1 reports what the conventional protocol yields on our data rather than only what our preferred protocol yields.</w:t>
      </w:r>
    </w:p>
    <w:p>
      <w:r>
        <w:rPr>
          <w:i w:val="0"/>
          <w:sz w:val="22"/>
        </w:rPr>
        <w:t>The practical recommendation is therefore not that published maps be discarded, but that absence selection be reported and justified as carefully as model choice currently is, and that a terrain-matched comparison be given alongside any headline figure.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3.4% unfiltered and 11.1% after the snow-persistence filter, on 100 blind optical judgements scored against an explicit rule. The detections are candidate avalanche-prone slopes, not confirmed events, and every result resting on them inherits that. The model should therefore be read as predicting terrain favourable to the activity the detector registers, rather than verified release locations, and the susceptibility map in Section 4.11 is presented on that understanding. This limit is not specific to our inventory: no published susceptibility study in the region reports a precision estimate, so the same caveat applies to every model trained on them — the difference is that ours is quantified.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three confirmed avalanches, so the precision interval is wide and the filter's measured selectivity carries more weight than the point estimate. Independent scoring by a second reviewer, or higher-resolution imagery, would constrain both the precision and the disagreement between scorings.</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Blind optical verification puts the precision of the Sentinel-1 detections at 26.7% unfiltered and 3.4% once snow cover is required to persist after each event, the first such measurement we are aware of for an avalanche inventory in this region. Published inventories here carry no precision estimate, so the proportion of training labels that are genuine avalanches is unknown in every study we reproduce, including in the sense that it may be considerably higher than ours.</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[0.855, 0.876]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