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Are machine-learning avalanche susceptibility maps learning avalanche physics?</w:t>
      </w:r>
    </w:p>
    <w:p>
      <w:pPr>
        <w:jc w:val="center"/>
      </w:pPr>
      <w:r>
        <w:rPr>
          <w:sz w:val="25"/>
        </w:rPr>
        <w:t>Sampling design, spatial validation and explainability in the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We provide a corrected susceptibility map restricted to potential release areas, and openly document one artefact detected in our own pipeline.</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an artefact we found there.</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release points, of which 3,188 are flagged in four or more winters — the threshold used for the analyses below.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Where reported performance comes from</w:t>
      </w:r>
    </w:p>
    <w:p>
      <w:r>
        <w:rPr>
          <w:b/>
          <w:sz w:val="19"/>
        </w:rPr>
        <w:t>Table 1.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1" name="Picture 1"/>
            <wp:cNvGraphicFramePr>
              <a:graphicFrameLocks noChangeAspect="1"/>
            </wp:cNvGraphicFramePr>
            <a:graphic>
              <a:graphicData uri="http://schemas.openxmlformats.org/drawingml/2006/picture">
                <pic:pic>
                  <pic:nvPicPr>
                    <pic:cNvPr id="0" name="fig_leakage_decomposition.png"/>
                    <pic:cNvPicPr/>
                  </pic:nvPicPr>
                  <pic:blipFill>
                    <a:blip r:embed="rId9"/>
                    <a:stretch>
                      <a:fillRect/>
                    </a:stretch>
                  </pic:blipFill>
                  <pic:spPr>
                    <a:xfrm>
                      <a:off x="0" y="0"/>
                      <a:ext cx="5486400" cy="3500387"/>
                    </a:xfrm>
                    <a:prstGeom prst="rect"/>
                  </pic:spPr>
                </pic:pic>
              </a:graphicData>
            </a:graphic>
          </wp:inline>
        </w:drawing>
      </w:r>
    </w:p>
    <w:p>
      <w:pPr>
        <w:jc w:val="center"/>
      </w:pPr>
      <w:r>
        <w:rPr>
          <w:i/>
          <w:sz w:val="18"/>
        </w:rPr>
        <w:t>Figure 1.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2.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2" name="Picture 2"/>
            <wp:cNvGraphicFramePr>
              <a:graphicFrameLocks noChangeAspect="1"/>
            </wp:cNvGraphicFramePr>
            <a:graphic>
              <a:graphicData uri="http://schemas.openxmlformats.org/drawingml/2006/picture">
                <pic:pic>
                  <pic:nvPicPr>
                    <pic:cNvPr id="0" name="fig_label_sensitivity.png"/>
                    <pic:cNvPicPr/>
                  </pic:nvPicPr>
                  <pic:blipFill>
                    <a:blip r:embed="rId10"/>
                    <a:stretch>
                      <a:fillRect/>
                    </a:stretch>
                  </pic:blipFill>
                  <pic:spPr>
                    <a:xfrm>
                      <a:off x="0" y="0"/>
                      <a:ext cx="5486400" cy="3592718"/>
                    </a:xfrm>
                    <a:prstGeom prst="rect"/>
                  </pic:spPr>
                </pic:pic>
              </a:graphicData>
            </a:graphic>
          </wp:inline>
        </w:drawing>
      </w:r>
    </w:p>
    <w:p>
      <w:pPr>
        <w:jc w:val="center"/>
      </w:pPr>
      <w:r>
        <w:rPr>
          <w:i/>
          <w:sz w:val="18"/>
        </w:rPr>
        <w:t>Figure 2. The sampling artefact is independent of inventory size and label confidence.</w:t>
      </w:r>
    </w:p>
    <w:p>
      <w:pPr>
        <w:pStyle w:val="Heading2"/>
      </w:pPr>
      <w:r>
        <w:rPr>
          <w:color w:val="0B3D5C"/>
        </w:rPr>
        <w:t>4.2 Model comparison under honest validation</w:t>
      </w:r>
    </w:p>
    <w:p>
      <w:r>
        <w:rPr>
          <w:b/>
          <w:sz w:val="19"/>
        </w:rPr>
        <w:t>Table 3. Model performance with terrain-matched absences (20 predictors, TPI excluded).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152"/>
          </w:tcPr>
          <w:p>
            <w:r/>
            <w:r>
              <w:rPr>
                <w:b/>
                <w:sz w:val="18"/>
              </w:rPr>
              <w:t>PR-AUC</w:t>
            </w:r>
          </w:p>
        </w:tc>
        <w:tc>
          <w:tcPr>
            <w:tcW w:type="dxa" w:w="1296"/>
          </w:tcPr>
          <w:p>
            <w:r/>
            <w:r>
              <w:rPr>
                <w:b/>
                <w:sz w:val="18"/>
              </w:rPr>
              <w:t>Accuracy</w:t>
            </w:r>
          </w:p>
        </w:tc>
        <w:tc>
          <w:tcPr>
            <w:tcW w:type="dxa" w:w="1008"/>
          </w:tcPr>
          <w:p>
            <w:r/>
            <w:r>
              <w:rPr>
                <w:b/>
                <w:sz w:val="18"/>
              </w:rPr>
              <w:t>Kappa</w:t>
            </w:r>
          </w:p>
        </w:tc>
      </w:tr>
      <w:tr>
        <w:tc>
          <w:tcPr>
            <w:tcW w:type="dxa" w:w="1872"/>
          </w:tcPr>
          <w:p>
            <w:r/>
            <w:r>
              <w:rPr>
                <w:sz w:val="18"/>
              </w:rPr>
              <w:t>LightGBM</w:t>
            </w:r>
          </w:p>
        </w:tc>
        <w:tc>
          <w:tcPr>
            <w:tcW w:type="dxa" w:w="1584"/>
          </w:tcPr>
          <w:p>
            <w:r/>
            <w:r>
              <w:rPr>
                <w:sz w:val="18"/>
              </w:rPr>
              <w:t>0.952</w:t>
            </w:r>
          </w:p>
        </w:tc>
        <w:tc>
          <w:tcPr>
            <w:tcW w:type="dxa" w:w="2448"/>
          </w:tcPr>
          <w:p>
            <w:r/>
            <w:r>
              <w:rPr>
                <w:sz w:val="18"/>
              </w:rPr>
              <w:t>0.934 [0.928, 0.940]</w:t>
            </w:r>
          </w:p>
        </w:tc>
        <w:tc>
          <w:tcPr>
            <w:tcW w:type="dxa" w:w="1152"/>
          </w:tcPr>
          <w:p>
            <w:r/>
            <w:r>
              <w:rPr>
                <w:sz w:val="18"/>
              </w:rPr>
              <w:t>0.931</w:t>
            </w:r>
          </w:p>
        </w:tc>
        <w:tc>
          <w:tcPr>
            <w:tcW w:type="dxa" w:w="1296"/>
          </w:tcPr>
          <w:p>
            <w:r/>
            <w:r>
              <w:rPr>
                <w:sz w:val="18"/>
              </w:rPr>
              <w:t>0.859</w:t>
            </w:r>
          </w:p>
        </w:tc>
        <w:tc>
          <w:tcPr>
            <w:tcW w:type="dxa" w:w="1008"/>
          </w:tcPr>
          <w:p>
            <w:r/>
            <w:r>
              <w:rPr>
                <w:sz w:val="18"/>
              </w:rPr>
              <w:t>0.719</w:t>
            </w:r>
          </w:p>
        </w:tc>
      </w:tr>
      <w:tr>
        <w:tc>
          <w:tcPr>
            <w:tcW w:type="dxa" w:w="1872"/>
          </w:tcPr>
          <w:p>
            <w:r/>
            <w:r>
              <w:rPr>
                <w:sz w:val="18"/>
              </w:rPr>
              <w:t>XGBoost</w:t>
            </w:r>
          </w:p>
        </w:tc>
        <w:tc>
          <w:tcPr>
            <w:tcW w:type="dxa" w:w="1584"/>
          </w:tcPr>
          <w:p>
            <w:r/>
            <w:r>
              <w:rPr>
                <w:sz w:val="18"/>
              </w:rPr>
              <w:t>0.951</w:t>
            </w:r>
          </w:p>
        </w:tc>
        <w:tc>
          <w:tcPr>
            <w:tcW w:type="dxa" w:w="2448"/>
          </w:tcPr>
          <w:p>
            <w:r/>
            <w:r>
              <w:rPr>
                <w:sz w:val="18"/>
              </w:rPr>
              <w:t>0.934 [0.929, 0.940]</w:t>
            </w:r>
          </w:p>
        </w:tc>
        <w:tc>
          <w:tcPr>
            <w:tcW w:type="dxa" w:w="1152"/>
          </w:tcPr>
          <w:p>
            <w:r/>
            <w:r>
              <w:rPr>
                <w:sz w:val="18"/>
              </w:rPr>
              <w:t>0.932</w:t>
            </w:r>
          </w:p>
        </w:tc>
        <w:tc>
          <w:tcPr>
            <w:tcW w:type="dxa" w:w="1296"/>
          </w:tcPr>
          <w:p>
            <w:r/>
            <w:r>
              <w:rPr>
                <w:sz w:val="18"/>
              </w:rPr>
              <w:t>0.857</w:t>
            </w:r>
          </w:p>
        </w:tc>
        <w:tc>
          <w:tcPr>
            <w:tcW w:type="dxa" w:w="1008"/>
          </w:tcPr>
          <w:p>
            <w:r/>
            <w:r>
              <w:rPr>
                <w:sz w:val="18"/>
              </w:rPr>
              <w:t>0.714</w:t>
            </w:r>
          </w:p>
        </w:tc>
      </w:tr>
      <w:tr>
        <w:tc>
          <w:tcPr>
            <w:tcW w:type="dxa" w:w="1872"/>
          </w:tcPr>
          <w:p>
            <w:r/>
            <w:r>
              <w:rPr>
                <w:sz w:val="18"/>
              </w:rPr>
              <w:t>Random Forest</w:t>
            </w:r>
          </w:p>
        </w:tc>
        <w:tc>
          <w:tcPr>
            <w:tcW w:type="dxa" w:w="1584"/>
          </w:tcPr>
          <w:p>
            <w:r/>
            <w:r>
              <w:rPr>
                <w:sz w:val="18"/>
              </w:rPr>
              <w:t>0.934</w:t>
            </w:r>
          </w:p>
        </w:tc>
        <w:tc>
          <w:tcPr>
            <w:tcW w:type="dxa" w:w="2448"/>
          </w:tcPr>
          <w:p>
            <w:r/>
            <w:r>
              <w:rPr>
                <w:sz w:val="18"/>
              </w:rPr>
              <w:t>0.923 [0.917, 0.930]</w:t>
            </w:r>
          </w:p>
        </w:tc>
        <w:tc>
          <w:tcPr>
            <w:tcW w:type="dxa" w:w="1152"/>
          </w:tcPr>
          <w:p>
            <w:r/>
            <w:r>
              <w:rPr>
                <w:sz w:val="18"/>
              </w:rPr>
              <w:t>0.919</w:t>
            </w:r>
          </w:p>
        </w:tc>
        <w:tc>
          <w:tcPr>
            <w:tcW w:type="dxa" w:w="1296"/>
          </w:tcPr>
          <w:p>
            <w:r/>
            <w:r>
              <w:rPr>
                <w:sz w:val="18"/>
              </w:rPr>
              <w:t>0.846</w:t>
            </w:r>
          </w:p>
        </w:tc>
        <w:tc>
          <w:tcPr>
            <w:tcW w:type="dxa" w:w="1008"/>
          </w:tcPr>
          <w:p>
            <w:r/>
            <w:r>
              <w:rPr>
                <w:sz w:val="18"/>
              </w:rPr>
              <w:t>0.692</w:t>
            </w:r>
          </w:p>
        </w:tc>
      </w:tr>
      <w:tr>
        <w:tc>
          <w:tcPr>
            <w:tcW w:type="dxa" w:w="1872"/>
          </w:tcPr>
          <w:p>
            <w:r/>
            <w:r>
              <w:rPr>
                <w:sz w:val="18"/>
              </w:rPr>
              <w:t>SVM (RBF)</w:t>
            </w:r>
          </w:p>
        </w:tc>
        <w:tc>
          <w:tcPr>
            <w:tcW w:type="dxa" w:w="1584"/>
          </w:tcPr>
          <w:p>
            <w:r/>
            <w:r>
              <w:rPr>
                <w:sz w:val="18"/>
              </w:rPr>
              <w:t>0.926</w:t>
            </w:r>
          </w:p>
        </w:tc>
        <w:tc>
          <w:tcPr>
            <w:tcW w:type="dxa" w:w="2448"/>
          </w:tcPr>
          <w:p>
            <w:r/>
            <w:r>
              <w:rPr>
                <w:sz w:val="18"/>
              </w:rPr>
              <w:t>0.915 [0.908, 0.922]</w:t>
            </w:r>
          </w:p>
        </w:tc>
        <w:tc>
          <w:tcPr>
            <w:tcW w:type="dxa" w:w="1152"/>
          </w:tcPr>
          <w:p>
            <w:r/>
            <w:r>
              <w:rPr>
                <w:sz w:val="18"/>
              </w:rPr>
              <w:t>0.902</w:t>
            </w:r>
          </w:p>
        </w:tc>
        <w:tc>
          <w:tcPr>
            <w:tcW w:type="dxa" w:w="1296"/>
          </w:tcPr>
          <w:p>
            <w:r/>
            <w:r>
              <w:rPr>
                <w:sz w:val="18"/>
              </w:rPr>
              <w:t>0.835</w:t>
            </w:r>
          </w:p>
        </w:tc>
        <w:tc>
          <w:tcPr>
            <w:tcW w:type="dxa" w:w="1008"/>
          </w:tcPr>
          <w:p>
            <w:r/>
            <w:r>
              <w:rPr>
                <w:sz w:val="18"/>
              </w:rPr>
              <w:t>0.670</w:t>
            </w:r>
          </w:p>
        </w:tc>
      </w:tr>
      <w:tr>
        <w:tc>
          <w:tcPr>
            <w:tcW w:type="dxa" w:w="1872"/>
          </w:tcPr>
          <w:p>
            <w:r/>
            <w:r>
              <w:rPr>
                <w:sz w:val="18"/>
              </w:rPr>
              <w:t>Logistic Regression</w:t>
            </w:r>
          </w:p>
        </w:tc>
        <w:tc>
          <w:tcPr>
            <w:tcW w:type="dxa" w:w="1584"/>
          </w:tcPr>
          <w:p>
            <w:r/>
            <w:r>
              <w:rPr>
                <w:sz w:val="18"/>
              </w:rPr>
              <w:t>0.900</w:t>
            </w:r>
          </w:p>
        </w:tc>
        <w:tc>
          <w:tcPr>
            <w:tcW w:type="dxa" w:w="2448"/>
          </w:tcPr>
          <w:p>
            <w:r/>
            <w:r>
              <w:rPr>
                <w:sz w:val="18"/>
              </w:rPr>
              <w:t>0.893 [0.885, 0.900]</w:t>
            </w:r>
          </w:p>
        </w:tc>
        <w:tc>
          <w:tcPr>
            <w:tcW w:type="dxa" w:w="1152"/>
          </w:tcPr>
          <w:p>
            <w:r/>
            <w:r>
              <w:rPr>
                <w:sz w:val="18"/>
              </w:rPr>
              <w:t>0.883</w:t>
            </w:r>
          </w:p>
        </w:tc>
        <w:tc>
          <w:tcPr>
            <w:tcW w:type="dxa" w:w="1296"/>
          </w:tcPr>
          <w:p>
            <w:r/>
            <w:r>
              <w:rPr>
                <w:sz w:val="18"/>
              </w:rPr>
              <w:t>0.810</w:t>
            </w:r>
          </w:p>
        </w:tc>
        <w:tc>
          <w:tcPr>
            <w:tcW w:type="dxa" w:w="1008"/>
          </w:tcPr>
          <w:p>
            <w:r/>
            <w:r>
              <w:rPr>
                <w:sz w:val="18"/>
              </w:rPr>
              <w:t>0.619</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3" name="Picture 3"/>
            <wp:cNvGraphicFramePr>
              <a:graphicFrameLocks noChangeAspect="1"/>
            </wp:cNvGraphicFramePr>
            <a:graphic>
              <a:graphicData uri="http://schemas.openxmlformats.org/drawingml/2006/picture">
                <pic:pic>
                  <pic:nvPicPr>
                    <pic:cNvPr id="0" name="fig_model_ci.png"/>
                    <pic:cNvPicPr/>
                  </pic:nvPicPr>
                  <pic:blipFill>
                    <a:blip r:embed="rId11"/>
                    <a:stretch>
                      <a:fillRect/>
                    </a:stretch>
                  </pic:blipFill>
                  <pic:spPr>
                    <a:xfrm>
                      <a:off x="0" y="0"/>
                      <a:ext cx="4937760" cy="2758558"/>
                    </a:xfrm>
                    <a:prstGeom prst="rect"/>
                  </pic:spPr>
                </pic:pic>
              </a:graphicData>
            </a:graphic>
          </wp:inline>
        </w:drawing>
      </w:r>
    </w:p>
    <w:p>
      <w:pPr>
        <w:jc w:val="center"/>
      </w:pPr>
      <w:r>
        <w:rPr>
          <w:i/>
          <w:sz w:val="18"/>
        </w:rPr>
        <w:t>Figure 3. Model ranking with bootstrap confidence intervals.</w:t>
      </w:r>
    </w:p>
    <w:p>
      <w:pPr>
        <w:pStyle w:val="Heading2"/>
      </w:pPr>
      <w:r>
        <w:rPr>
          <w:color w:val="0B3D5C"/>
        </w:rPr>
        <w:t>4.3 Coarse predictors encode geography, not snowpack</w:t>
      </w:r>
    </w:p>
    <w:p>
      <w:r>
        <w:rPr>
          <w:b/>
          <w:sz w:val="19"/>
        </w:rPr>
        <w:t>Table 4.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4" name="Picture 4"/>
            <wp:cNvGraphicFramePr>
              <a:graphicFrameLocks noChangeAspect="1"/>
            </wp:cNvGraphicFramePr>
            <a:graphic>
              <a:graphicData uri="http://schemas.openxmlformats.org/drawingml/2006/picture">
                <pic:pic>
                  <pic:nvPicPr>
                    <pic:cNvPr id="0" name="fig_geography_ablation.png"/>
                    <pic:cNvPicPr/>
                  </pic:nvPicPr>
                  <pic:blipFill>
                    <a:blip r:embed="rId12"/>
                    <a:stretch>
                      <a:fillRect/>
                    </a:stretch>
                  </pic:blipFill>
                  <pic:spPr>
                    <a:xfrm>
                      <a:off x="0" y="0"/>
                      <a:ext cx="5852160" cy="2784168"/>
                    </a:xfrm>
                    <a:prstGeom prst="rect"/>
                  </pic:spPr>
                </pic:pic>
              </a:graphicData>
            </a:graphic>
          </wp:inline>
        </w:drawing>
      </w:r>
    </w:p>
    <w:p>
      <w:pPr>
        <w:jc w:val="center"/>
      </w:pPr>
      <w:r>
        <w:rPr>
          <w:i/>
          <w:sz w:val="18"/>
        </w:rPr>
        <w:t>Figure 4. Coarse predictors are interchangeable with coordinates.</w:t>
      </w:r>
    </w:p>
    <w:p>
      <w:pPr>
        <w:pStyle w:val="Heading2"/>
      </w:pPr>
      <w:r>
        <w:rPr>
          <w:color w:val="0B3D5C"/>
        </w:rPr>
        <w:t>4.4 Reported AUC depends on the background sampling ratio</w:t>
      </w:r>
    </w:p>
    <w:p>
      <w:r>
        <w:rPr>
          <w:b/>
          <w:sz w:val="19"/>
        </w:rPr>
        <w:t>Table 5.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4.5 Spatial transferability</w:t>
      </w:r>
    </w:p>
    <w:p>
      <w:r>
        <w:rPr>
          <w:b/>
          <w:sz w:val="19"/>
        </w:rPr>
        <w:t>Table 6.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5" name="Picture 5"/>
            <wp:cNvGraphicFramePr>
              <a:graphicFrameLocks noChangeAspect="1"/>
            </wp:cNvGraphicFramePr>
            <a:graphic>
              <a:graphicData uri="http://schemas.openxmlformats.org/drawingml/2006/picture">
                <pic:pic>
                  <pic:nvPicPr>
                    <pic:cNvPr id="0" name="fig_transfer_shap.png"/>
                    <pic:cNvPicPr/>
                  </pic:nvPicPr>
                  <pic:blipFill>
                    <a:blip r:embed="rId13"/>
                    <a:stretch>
                      <a:fillRect/>
                    </a:stretch>
                  </pic:blipFill>
                  <pic:spPr>
                    <a:xfrm>
                      <a:off x="0" y="0"/>
                      <a:ext cx="6035040" cy="2366476"/>
                    </a:xfrm>
                    <a:prstGeom prst="rect"/>
                  </pic:spPr>
                </pic:pic>
              </a:graphicData>
            </a:graphic>
          </wp:inline>
        </w:drawing>
      </w:r>
    </w:p>
    <w:p>
      <w:pPr>
        <w:jc w:val="center"/>
      </w:pPr>
      <w:r>
        <w:rPr>
          <w:i/>
          <w:sz w:val="18"/>
        </w:rPr>
        <w:t>Figure 5. Sub-basin transferability (left) and SHAP predictor importance (right).</w:t>
      </w:r>
    </w:p>
    <w:p>
      <w:pPr>
        <w:pStyle w:val="Heading2"/>
      </w:pPr>
      <w:r>
        <w:rPr>
          <w:color w:val="0B3D5C"/>
        </w:rPr>
        <w:t>4.6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4.7 Susceptibility map</w:t>
      </w:r>
    </w:p>
    <w:p>
      <w:r>
        <w:rPr>
          <w:i w:val="0"/>
          <w:sz w:val="22"/>
        </w:rPr>
        <w:t>The final map applies XGBoost with terrain-matched sampling and is restricted to potential release areas (slope 28–60°), covering 11,699 km². Restricting the domain matters for comparability: classifying valley floors and lake surfaces as low susceptibility inflates the denominator, so the commonly quoted statistic 'x% of the basin is highly susceptible' is not comparable between studies unless the domain is stated.</w:t>
      </w:r>
    </w:p>
    <w:p>
      <w:r>
        <w:rPr>
          <w:b/>
          <w:sz w:val="19"/>
        </w:rPr>
        <w:t>Table 7.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5852160" cy="5554980"/>
            <wp:docPr id="6" name="Picture 6"/>
            <wp:cNvGraphicFramePr>
              <a:graphicFrameLocks noChangeAspect="1"/>
            </wp:cNvGraphicFramePr>
            <a:graphic>
              <a:graphicData uri="http://schemas.openxmlformats.org/drawingml/2006/picture">
                <pic:pic>
                  <pic:nvPicPr>
                    <pic:cNvPr id="0" name="fig_susceptibility_map.png"/>
                    <pic:cNvPicPr/>
                  </pic:nvPicPr>
                  <pic:blipFill>
                    <a:blip r:embed="rId14"/>
                    <a:stretch>
                      <a:fillRect/>
                    </a:stretch>
                  </pic:blipFill>
                  <pic:spPr>
                    <a:xfrm>
                      <a:off x="0" y="0"/>
                      <a:ext cx="5852160" cy="5554980"/>
                    </a:xfrm>
                    <a:prstGeom prst="rect"/>
                  </pic:spPr>
                </pic:pic>
              </a:graphicData>
            </a:graphic>
          </wp:inline>
        </w:drawing>
      </w:r>
    </w:p>
    <w:p>
      <w:pPr>
        <w:jc w:val="center"/>
      </w:pPr>
      <w:r>
        <w:rPr>
          <w:i/>
          <w:sz w:val="18"/>
        </w:rPr>
        <w:t>Figure 6. Avalanche susceptibility across the Chandra-Bhaga and Upper Beas basins, restricted to potential release areas.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It also implies that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not established. Agreement between independent ascending and descending detections is 17.8% on aspects both geometries observe well, so the inventory should be treated as candidate avalanche-prone slopes rather than confirmed events. Recall at eight sites named in the reference study is 6/8, against 4/12 at randomly chosen steep sites, which is suggestive but not statistically significant at this sample size.</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[0.929, 0.940]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