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2"/>
      </w:pPr>
      <w:r>
        <w:rPr>
          <w:color w:val="0B3D5C"/>
        </w:rPr>
        <w:t>4.2 Skill, once the design is accounted for</w:t>
      </w:r>
    </w:p>
    <w:p>
      <w:r>
        <w:rPr>
          <w:i w:val="0"/>
          <w:sz w:val="22"/>
        </w:rPr>
        <w:t>This yields a correction. If a model with no skill would score B at a study's own separability, then only the amount by which the study exceeds B is attributable to the model. We estimate B by simulation at the measured δ and report the difference as design-adjusted skill.</w:t>
      </w:r>
    </w:p>
    <w:p>
      <w:r>
        <w:rPr>
          <w:b/>
          <w:sz w:val="19"/>
        </w:rPr>
        <w:t>Table 3. Reported AUC and skill above the null model at the same absence design.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tcPr>
          <w:p>
            <w:r/>
            <w:r>
              <w:rPr>
                <w:b/>
                <w:sz w:val="18"/>
              </w:rPr>
              <w:t>Configuration</w:t>
            </w:r>
          </w:p>
        </w:tc>
        <w:tc>
          <w:tcPr>
            <w:tcW w:type="dxa" w:w="1008"/>
          </w:tcPr>
          <w:p>
            <w:r/>
            <w:r>
              <w:rPr>
                <w:b/>
                <w:sz w:val="18"/>
              </w:rPr>
              <w:t>δ (SD)</w:t>
            </w:r>
          </w:p>
        </w:tc>
        <w:tc>
          <w:tcPr>
            <w:tcW w:type="dxa" w:w="1584"/>
          </w:tcPr>
          <w:p>
            <w:r/>
            <w:r>
              <w:rPr>
                <w:b/>
                <w:sz w:val="18"/>
              </w:rPr>
              <w:t>Reported AUC</w:t>
            </w:r>
          </w:p>
        </w:tc>
        <w:tc>
          <w:tcPr>
            <w:tcW w:type="dxa" w:w="1584"/>
          </w:tcPr>
          <w:p>
            <w:r/>
            <w:r>
              <w:rPr>
                <w:b/>
                <w:sz w:val="18"/>
              </w:rPr>
              <w:t>Null baseline</w:t>
            </w:r>
          </w:p>
        </w:tc>
        <w:tc>
          <w:tcPr>
            <w:tcW w:type="dxa" w:w="1584"/>
          </w:tcPr>
          <w:p>
            <w:r/>
            <w:r>
              <w:rPr>
                <w:b/>
                <w:sz w:val="18"/>
              </w:rPr>
              <w:t>Adjusted skill</w:t>
            </w:r>
          </w:p>
        </w:tc>
      </w:tr>
      <w:tr>
        <w:tc>
          <w:tcPr>
            <w:tcW w:type="dxa" w:w="3456"/>
          </w:tcPr>
          <w:p>
            <w:r/>
            <w:r>
              <w:rPr>
                <w:sz w:val="18"/>
              </w:rPr>
              <w:t>Published protocol (flat/vegetated absences)</w:t>
            </w:r>
          </w:p>
        </w:tc>
        <w:tc>
          <w:tcPr>
            <w:tcW w:type="dxa" w:w="1008"/>
          </w:tcPr>
          <w:p>
            <w:r/>
            <w:r>
              <w:rPr>
                <w:sz w:val="18"/>
              </w:rPr>
              <w:t>7.06</w:t>
            </w:r>
          </w:p>
        </w:tc>
        <w:tc>
          <w:tcPr>
            <w:tcW w:type="dxa" w:w="1584"/>
          </w:tcPr>
          <w:p>
            <w:r/>
            <w:r>
              <w:rPr>
                <w:sz w:val="18"/>
              </w:rPr>
              <w:t>1.000</w:t>
            </w:r>
          </w:p>
        </w:tc>
        <w:tc>
          <w:tcPr>
            <w:tcW w:type="dxa" w:w="1584"/>
          </w:tcPr>
          <w:p>
            <w:r/>
            <w:r>
              <w:rPr>
                <w:sz w:val="18"/>
              </w:rPr>
              <w:t>1.000</w:t>
            </w:r>
          </w:p>
        </w:tc>
        <w:tc>
          <w:tcPr>
            <w:tcW w:type="dxa" w:w="1584"/>
          </w:tcPr>
          <w:p>
            <w:r/>
            <w:r>
              <w:rPr>
                <w:sz w:val="18"/>
              </w:rPr>
              <w:t>+0.000</w:t>
            </w:r>
          </w:p>
        </w:tc>
      </w:tr>
      <w:tr>
        <w:tc>
          <w:tcPr>
            <w:tcW w:type="dxa" w:w="3456"/>
          </w:tcPr>
          <w:p>
            <w:r/>
            <w:r>
              <w:rPr>
                <w:sz w:val="18"/>
              </w:rPr>
              <w:t>Terrain-matched absences</w:t>
            </w:r>
          </w:p>
        </w:tc>
        <w:tc>
          <w:tcPr>
            <w:tcW w:type="dxa" w:w="1008"/>
          </w:tcPr>
          <w:p>
            <w:r/>
            <w:r>
              <w:rPr>
                <w:sz w:val="18"/>
              </w:rPr>
              <w:t>2.15</w:t>
            </w:r>
          </w:p>
        </w:tc>
        <w:tc>
          <w:tcPr>
            <w:tcW w:type="dxa" w:w="1584"/>
          </w:tcPr>
          <w:p>
            <w:r/>
            <w:r>
              <w:rPr>
                <w:sz w:val="18"/>
              </w:rPr>
              <w:t>0.954</w:t>
            </w:r>
          </w:p>
        </w:tc>
        <w:tc>
          <w:tcPr>
            <w:tcW w:type="dxa" w:w="1584"/>
          </w:tcPr>
          <w:p>
            <w:r/>
            <w:r>
              <w:rPr>
                <w:sz w:val="18"/>
              </w:rPr>
              <w:t>0.927</w:t>
            </w:r>
          </w:p>
        </w:tc>
        <w:tc>
          <w:tcPr>
            <w:tcW w:type="dxa" w:w="1584"/>
          </w:tcPr>
          <w:p>
            <w:r/>
            <w:r>
              <w:rPr>
                <w:sz w:val="18"/>
              </w:rPr>
              <w:t>+0.027</w:t>
            </w:r>
          </w:p>
        </w:tc>
      </w:tr>
      <w:tr>
        <w:tc>
          <w:tcPr>
            <w:tcW w:type="dxa" w:w="3456"/>
          </w:tcPr>
          <w:p>
            <w:r/>
            <w:r>
              <w:rPr>
                <w:sz w:val="18"/>
              </w:rPr>
              <w:t>Terrain + aspect matched, corrected labels</w:t>
            </w:r>
          </w:p>
        </w:tc>
        <w:tc>
          <w:tcPr>
            <w:tcW w:type="dxa" w:w="1008"/>
          </w:tcPr>
          <w:p>
            <w:r/>
            <w:r>
              <w:rPr>
                <w:sz w:val="18"/>
              </w:rPr>
              <w:t>1.07</w:t>
            </w:r>
          </w:p>
        </w:tc>
        <w:tc>
          <w:tcPr>
            <w:tcW w:type="dxa" w:w="1584"/>
          </w:tcPr>
          <w:p>
            <w:r/>
            <w:r>
              <w:rPr>
                <w:sz w:val="18"/>
              </w:rPr>
              <w:t>0.866</w:t>
            </w:r>
          </w:p>
        </w:tc>
        <w:tc>
          <w:tcPr>
            <w:tcW w:type="dxa" w:w="1584"/>
          </w:tcPr>
          <w:p>
            <w:r/>
            <w:r>
              <w:rPr>
                <w:sz w:val="18"/>
              </w:rPr>
              <w:t>0.758</w:t>
            </w:r>
          </w:p>
        </w:tc>
        <w:tc>
          <w:tcPr>
            <w:tcW w:type="dxa" w:w="1584"/>
          </w:tcPr>
          <w:p>
            <w:r/>
            <w:r>
              <w:rPr>
                <w:sz w:val="18"/>
              </w:rPr>
              <w:t>+0.108</w:t>
            </w:r>
          </w:p>
        </w:tc>
      </w:tr>
    </w:tbl>
    <w:p/>
    <w:p>
      <w:r>
        <w:rPr>
          <w:i w:val="0"/>
          <w:sz w:val="22"/>
        </w:rPr>
        <w:t>The published protocol contributes nothing: its reported 1.000 is exactly what the sampling design alone delivers. Terrain matching contributes 0.027. The fully corrected configuration — aspect-matched absences and melt-out-filtered labels — reports the LOWEST AUC of the three at 0.866 and contributes the MOST skill at +0.108, four times the terrain-matched configuration.</w:t>
      </w:r>
    </w:p>
    <w:p>
      <w:r>
        <w:rPr>
          <w:i w:val="0"/>
          <w:sz w:val="22"/>
        </w:rPr>
        <w:t>Ranked by reported AUC the three configurations run 1.000, 0.954, 0.866. Ranked by what the model actually contributes they run +0.000, +0.027, +0.108. The ordering is exactly reversed. A reader comparing these studies on reported accuracy, as the literature invites, would choose the one that has learned nothing.</w:t>
      </w:r>
    </w:p>
    <w:p>
      <w:pPr>
        <w:jc w:val="center"/>
      </w:pPr>
      <w:r>
        <w:drawing>
          <wp:inline xmlns:a="http://schemas.openxmlformats.org/drawingml/2006/main" xmlns:pic="http://schemas.openxmlformats.org/drawingml/2006/picture">
            <wp:extent cx="5486400" cy="2257228"/>
            <wp:docPr id="3" name="Picture 3"/>
            <wp:cNvGraphicFramePr>
              <a:graphicFrameLocks noChangeAspect="1"/>
            </wp:cNvGraphicFramePr>
            <a:graphic>
              <a:graphicData uri="http://schemas.openxmlformats.org/drawingml/2006/picture">
                <pic:pic>
                  <pic:nvPicPr>
                    <pic:cNvPr id="0" name="fig_adjusted_skill.png"/>
                    <pic:cNvPicPr/>
                  </pic:nvPicPr>
                  <pic:blipFill>
                    <a:blip r:embed="rId11"/>
                    <a:stretch>
                      <a:fillRect/>
                    </a:stretch>
                  </pic:blipFill>
                  <pic:spPr>
                    <a:xfrm>
                      <a:off x="0" y="0"/>
                      <a:ext cx="5486400" cy="2257228"/>
                    </a:xfrm>
                    <a:prstGeom prst="rect"/>
                  </pic:spPr>
                </pic:pic>
              </a:graphicData>
            </a:graphic>
          </wp:inline>
        </w:drawing>
      </w:r>
    </w:p>
    <w:p>
      <w:pPr>
        <w:jc w:val="center"/>
      </w:pPr>
      <w:r>
        <w:rPr>
          <w:i/>
          <w:sz w:val="18"/>
        </w:rPr>
        <w:t>Figure 3. Reported AUC (a) and the portion attributable to the model rather than the sampling design (b). The ranking inverts.</w:t>
      </w:r>
    </w:p>
    <w:p>
      <w:pPr>
        <w:pStyle w:val="Heading2"/>
      </w:pPr>
      <w:r>
        <w:rPr>
          <w:color w:val="0B3D5C"/>
        </w:rPr>
        <w:t>4.3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4.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4.4 Where reported performance comes from</w:t>
      </w:r>
    </w:p>
    <w:p>
      <w:r>
        <w:rPr>
          <w:b/>
          <w:sz w:val="19"/>
        </w:rPr>
        <w:t>Table 5.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6.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9.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Removing each design's own contribution leaves +0.000 for the published protocol, +0.027 for terrain-matched absences and +0.108 for aspect-matched absences with corrected labels. Reported AUC ranks these configurations in exactly the reverse order of what the models contribute.</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absence separability and design-adjusted skill alongside AUC. Both are inexpensive, both use only a study's own training data, and code for both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