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The reported AUC of a geohazard susceptibility model is a function of its absence sampling design</w:t>
      </w:r>
    </w:p>
    <w:p>
      <w:pPr>
        <w:jc w:val="center"/>
      </w:pPr>
      <w:r>
        <w:rPr>
          <w:sz w:val="25"/>
        </w:rPr>
        <w:t>A simulation-grounded correction, with an empirical test in the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susceptibility maps for snow avalanches, landslides and related geohazards routinely report areas under the ROC curve above 0.90, and those values are used to compare models, select predictors and justify operational products. Because such data are presence-only, the absences are invented by the analyst, and we show that this choice, rather than the model, largely determines the reported score. In synthetic data where absences are displaced from presences along a direction carrying no information about the outcome, a model with NO predictive skill whatsoever reports AUC 0.739 at a displacement of one standard deviation, 0.910 at two and 1.000 at six. Reported AUC is therefore not comparable across studies that chose their absences differently, and above a displacement of about three standard deviations it cannot distinguish a model that works from one that does not. We measure the absence designs of a published avalanche susceptibility protocol and of two corrected alternatives on the same scale, using an independent Sentinel-1 inventory of 6,364 candidate release sites in the Chandra-Bhaga and Upper Beas basins of the Western Himalaya. Drawing absences from flat, vegetated, urban and cropland terrain, as this literature does, places them 7.06 standard deviations from the presences, where the simulation predicts that a null model scores 1.000 — and 1.000 is what the protocol returns on real data. We then show that the absolute skill of a presence-only model is not identifiable from the data it was fitted to. Two synthetic worlds were constructed whose observed presence and absence samples are nearly indistinguishable — their separations differ by 0.02 and their reported AUCs by 0.043 — while their ability to rank genuinely susceptible terrain differs by 0.281. A difference between the two samples enters an AUC identically whether it arises because presences are different terrain or because absences were drawn from elsewhere, so no statistic computed from those samples can attribute it. We report our own failed attempts at a correction for the same reason. What remains identifiable is the relative effect of the absence design, obtained by holding presences, predictors and model fixed and varying only the sampling: the published protocol returns 1.000, terrain-matched absences 0.954, and aspect-matched absences with corrected labels 0.866. Training on displaced absences and scoring against a reference set of true non-events — available in simulation, where the generating process is known — shows the model itself is little harmed, falling only from 0.975 to 0.952; what the design corrupts is the figure a study reports about itself. Two further diagnostics agree: 1 km climate and 500 m snow-cover predictors are statistically interchangeable with raw spatial coordinates, and reported AUC rises with the background sampling ratio while precision-recall performance falls. We recommend that susceptibility studies hold out an evaluation set whose absences are drawn like the presences; code and data are released.</w:t>
      </w:r>
    </w:p>
    <w:p>
      <w:r>
        <w:rPr>
          <w:i/>
          <w:sz w:val="19"/>
        </w:rPr>
        <w:t>Keywords: susceptibility mapping, pseudo-absence selection, sampling bias, model evaluation, presence-only data, snow avalanches, Sentinel-1,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Occupied 10 km blocks cover 85% of the study area, so the inventory is not confined to road-accessible slopes.</w:t>
      </w:r>
    </w:p>
    <w:p>
      <w:r>
        <w:rPr>
          <w:i w:val="0"/>
          <w:sz w:val="22"/>
        </w:rPr>
        <w:t>One convention applies to every count reported below. A release point is discarded if any predictor is undefined at its cell, which happens at raster edges and on a small number of interior gaps. Inventory counts therefore exceed the sample sizes in the tables by a few points at each recurrence threshold: 6,364 detected against 6,344 analysed at recurrence ≥ 3, 3,188 against 3,179 at ≥ 4, 917 against 914 at ≥ 5, and 241 against 240 at ≥ 6. Figures quoted in the text are detections; figures in tables are the points that entered a model.</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Slope windows used at each stage</w:t>
      </w:r>
    </w:p>
    <w:p>
      <w:r>
        <w:rPr>
          <w:i w:val="0"/>
          <w:sz w:val="22"/>
        </w:rPr>
        <w:t>Four slope windows appear in the workflow and they are deliberately different, because they answer different questions. Detection retains change on 25–60° slopes, a deliberately broad window chosen to avoid discarding events near the margins. Release points are traced into 30–50° terrain, the slab-release window conventional in the avalanche literature. Background points are drawn from 25–55°, matching the detection window at its lower bound while excluding the steepest faces, which hold little snow and are not comparable terrain. The susceptibility map is masked to 28–60°, the potential-release-area definition of Bühler et al. (2018), so that areal statistics are comparable with other studies using that convention.</w:t>
      </w:r>
    </w:p>
    <w:p>
      <w:r>
        <w:rPr>
          <w:i w:val="0"/>
          <w:sz w:val="22"/>
        </w:rPr>
        <w:t>The background window sets the separability of the absence design directly, so the result was recomputed across four alternatives. Reported AUC moves with the choice — 0.844 at 20–60°, 0.866 at 25–55°, 0.873 at 28–60° and 0.875 at 30–50° — a range of 0.031 produced by a decision about which terrain counts as comparable, with the presences, predictors and model unchanged. This is the paper's argument appearing within a single study: a defensible-looking choice moves the reported number by more than the gap between several published models. The 25–55° window is used throughout, and the alternatives are reported so the sensitivity is visible rather than buried.</w:t>
      </w:r>
    </w:p>
    <w:p>
      <w:pPr>
        <w:pStyle w:val="Heading2"/>
      </w:pPr>
      <w:r>
        <w:rPr>
          <w:color w:val="0B3D5C"/>
        </w:rPr>
        <w:t>3.4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3.5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Reported AUC is a function of the absence design</w:t>
      </w:r>
    </w:p>
    <w:p>
      <w:r>
        <w:rPr>
          <w:i w:val="0"/>
          <w:sz w:val="22"/>
        </w:rPr>
        <w:t>Before examining any real inventory we establish what a reported AUC can mean. Synthetic presences are drawn from a region where a true susceptibility function is high, and absences from a distribution displaced by δ standard deviations ALONG A DIRECTION ORTHOGONAL to that function. Because the displacement is orthogonal it carries no information about susceptibility, so the model's genuine ability to rank susceptible sites is identical at every δ. In a second, null arm the predictors are made independent of the outcome, so true skill is exactly zero by construction and any AUC above 0.5 must come from the sampling alone.</w:t>
      </w:r>
    </w:p>
    <w:p>
      <w:r>
        <w:rPr>
          <w:b/>
          <w:sz w:val="19"/>
        </w:rPr>
        <w:t>Table 1. Reported AUC against absence displacement in synthetic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
              <w:rPr>
                <w:b/>
                <w:sz w:val="18"/>
              </w:rPr>
              <w:t>δ (SD)</w:t>
            </w:r>
          </w:p>
        </w:tc>
        <w:tc>
          <w:tcPr>
            <w:tcW w:type="dxa" w:w="2736"/>
          </w:tcPr>
          <w:p>
            <w:r/>
            <w:r>
              <w:rPr>
                <w:b/>
                <w:sz w:val="18"/>
              </w:rPr>
              <w:t>AUC, informative model</w:t>
            </w:r>
          </w:p>
        </w:tc>
        <w:tc>
          <w:tcPr>
            <w:tcW w:type="dxa" w:w="2880"/>
          </w:tcPr>
          <w:p>
            <w:r/>
            <w:r>
              <w:rPr>
                <w:b/>
                <w:sz w:val="18"/>
              </w:rPr>
              <w:t>AUC, null model (no skill)</w:t>
            </w:r>
          </w:p>
        </w:tc>
      </w:tr>
      <w:tr>
        <w:tc>
          <w:tcPr>
            <w:tcW w:type="dxa" w:w="1440"/>
          </w:tcPr>
          <w:p>
            <w:r/>
            <w:r>
              <w:rPr>
                <w:sz w:val="18"/>
              </w:rPr>
              <w:t>0</w:t>
            </w:r>
          </w:p>
        </w:tc>
        <w:tc>
          <w:tcPr>
            <w:tcW w:type="dxa" w:w="2736"/>
          </w:tcPr>
          <w:p>
            <w:r/>
            <w:r>
              <w:rPr>
                <w:sz w:val="18"/>
              </w:rPr>
              <w:t>0.977</w:t>
            </w:r>
          </w:p>
        </w:tc>
        <w:tc>
          <w:tcPr>
            <w:tcW w:type="dxa" w:w="2880"/>
          </w:tcPr>
          <w:p>
            <w:r/>
            <w:r>
              <w:rPr>
                <w:sz w:val="18"/>
              </w:rPr>
              <w:t>0.496</w:t>
            </w:r>
          </w:p>
        </w:tc>
      </w:tr>
      <w:tr>
        <w:tc>
          <w:tcPr>
            <w:tcW w:type="dxa" w:w="1440"/>
          </w:tcPr>
          <w:p>
            <w:r/>
            <w:r>
              <w:rPr>
                <w:sz w:val="18"/>
              </w:rPr>
              <w:t>0.5</w:t>
            </w:r>
          </w:p>
        </w:tc>
        <w:tc>
          <w:tcPr>
            <w:tcW w:type="dxa" w:w="2736"/>
          </w:tcPr>
          <w:p>
            <w:r/>
            <w:r>
              <w:rPr>
                <w:sz w:val="18"/>
              </w:rPr>
              <w:t>0.978</w:t>
            </w:r>
          </w:p>
        </w:tc>
        <w:tc>
          <w:tcPr>
            <w:tcW w:type="dxa" w:w="2880"/>
          </w:tcPr>
          <w:p>
            <w:r/>
            <w:r>
              <w:rPr>
                <w:sz w:val="18"/>
              </w:rPr>
              <w:t>0.607</w:t>
            </w:r>
          </w:p>
        </w:tc>
      </w:tr>
      <w:tr>
        <w:tc>
          <w:tcPr>
            <w:tcW w:type="dxa" w:w="1440"/>
          </w:tcPr>
          <w:p>
            <w:r/>
            <w:r>
              <w:rPr>
                <w:sz w:val="18"/>
              </w:rPr>
              <w:t>1</w:t>
            </w:r>
          </w:p>
        </w:tc>
        <w:tc>
          <w:tcPr>
            <w:tcW w:type="dxa" w:w="2736"/>
          </w:tcPr>
          <w:p>
            <w:r/>
            <w:r>
              <w:rPr>
                <w:sz w:val="18"/>
              </w:rPr>
              <w:t>0.981</w:t>
            </w:r>
          </w:p>
        </w:tc>
        <w:tc>
          <w:tcPr>
            <w:tcW w:type="dxa" w:w="2880"/>
          </w:tcPr>
          <w:p>
            <w:r/>
            <w:r>
              <w:rPr>
                <w:sz w:val="18"/>
              </w:rPr>
              <w:t>0.739</w:t>
            </w:r>
          </w:p>
        </w:tc>
      </w:tr>
      <w:tr>
        <w:tc>
          <w:tcPr>
            <w:tcW w:type="dxa" w:w="1440"/>
          </w:tcPr>
          <w:p>
            <w:r/>
            <w:r>
              <w:rPr>
                <w:sz w:val="18"/>
              </w:rPr>
              <w:t>1.5</w:t>
            </w:r>
          </w:p>
        </w:tc>
        <w:tc>
          <w:tcPr>
            <w:tcW w:type="dxa" w:w="2736"/>
          </w:tcPr>
          <w:p>
            <w:r/>
            <w:r>
              <w:rPr>
                <w:sz w:val="18"/>
              </w:rPr>
              <w:t>0.986</w:t>
            </w:r>
          </w:p>
        </w:tc>
        <w:tc>
          <w:tcPr>
            <w:tcW w:type="dxa" w:w="2880"/>
          </w:tcPr>
          <w:p>
            <w:r/>
            <w:r>
              <w:rPr>
                <w:sz w:val="18"/>
              </w:rPr>
              <w:t>0.840</w:t>
            </w:r>
          </w:p>
        </w:tc>
      </w:tr>
      <w:tr>
        <w:tc>
          <w:tcPr>
            <w:tcW w:type="dxa" w:w="1440"/>
          </w:tcPr>
          <w:p>
            <w:r/>
            <w:r>
              <w:rPr>
                <w:sz w:val="18"/>
              </w:rPr>
              <w:t>2</w:t>
            </w:r>
          </w:p>
        </w:tc>
        <w:tc>
          <w:tcPr>
            <w:tcW w:type="dxa" w:w="2736"/>
          </w:tcPr>
          <w:p>
            <w:r/>
            <w:r>
              <w:rPr>
                <w:sz w:val="18"/>
              </w:rPr>
              <w:t>0.991</w:t>
            </w:r>
          </w:p>
        </w:tc>
        <w:tc>
          <w:tcPr>
            <w:tcW w:type="dxa" w:w="2880"/>
          </w:tcPr>
          <w:p>
            <w:r/>
            <w:r>
              <w:rPr>
                <w:sz w:val="18"/>
              </w:rPr>
              <w:t>0.910</w:t>
            </w:r>
          </w:p>
        </w:tc>
      </w:tr>
      <w:tr>
        <w:tc>
          <w:tcPr>
            <w:tcW w:type="dxa" w:w="1440"/>
          </w:tcPr>
          <w:p>
            <w:r/>
            <w:r>
              <w:rPr>
                <w:sz w:val="18"/>
              </w:rPr>
              <w:t>3</w:t>
            </w:r>
          </w:p>
        </w:tc>
        <w:tc>
          <w:tcPr>
            <w:tcW w:type="dxa" w:w="2736"/>
          </w:tcPr>
          <w:p>
            <w:r/>
            <w:r>
              <w:rPr>
                <w:sz w:val="18"/>
              </w:rPr>
              <w:t>0.997</w:t>
            </w:r>
          </w:p>
        </w:tc>
        <w:tc>
          <w:tcPr>
            <w:tcW w:type="dxa" w:w="2880"/>
          </w:tcPr>
          <w:p>
            <w:r/>
            <w:r>
              <w:rPr>
                <w:sz w:val="18"/>
              </w:rPr>
              <w:t>0.974</w:t>
            </w:r>
          </w:p>
        </w:tc>
      </w:tr>
      <w:tr>
        <w:tc>
          <w:tcPr>
            <w:tcW w:type="dxa" w:w="1440"/>
          </w:tcPr>
          <w:p>
            <w:r/>
            <w:r>
              <w:rPr>
                <w:sz w:val="18"/>
              </w:rPr>
              <w:t>4</w:t>
            </w:r>
          </w:p>
        </w:tc>
        <w:tc>
          <w:tcPr>
            <w:tcW w:type="dxa" w:w="2736"/>
          </w:tcPr>
          <w:p>
            <w:r/>
            <w:r>
              <w:rPr>
                <w:sz w:val="18"/>
              </w:rPr>
              <w:t>0.999</w:t>
            </w:r>
          </w:p>
        </w:tc>
        <w:tc>
          <w:tcPr>
            <w:tcW w:type="dxa" w:w="2880"/>
          </w:tcPr>
          <w:p>
            <w:r/>
            <w:r>
              <w:rPr>
                <w:sz w:val="18"/>
              </w:rPr>
              <w:t>0.993</w:t>
            </w:r>
          </w:p>
        </w:tc>
      </w:tr>
      <w:tr>
        <w:tc>
          <w:tcPr>
            <w:tcW w:type="dxa" w:w="1440"/>
          </w:tcPr>
          <w:p>
            <w:r/>
            <w:r>
              <w:rPr>
                <w:sz w:val="18"/>
              </w:rPr>
              <w:t>5</w:t>
            </w:r>
          </w:p>
        </w:tc>
        <w:tc>
          <w:tcPr>
            <w:tcW w:type="dxa" w:w="2736"/>
          </w:tcPr>
          <w:p>
            <w:r/>
            <w:r>
              <w:rPr>
                <w:sz w:val="18"/>
              </w:rPr>
              <w:t>1.000</w:t>
            </w:r>
          </w:p>
        </w:tc>
        <w:tc>
          <w:tcPr>
            <w:tcW w:type="dxa" w:w="2880"/>
          </w:tcPr>
          <w:p>
            <w:r/>
            <w:r>
              <w:rPr>
                <w:sz w:val="18"/>
              </w:rPr>
              <w:t>0.998</w:t>
            </w:r>
          </w:p>
        </w:tc>
      </w:tr>
      <w:tr>
        <w:tc>
          <w:tcPr>
            <w:tcW w:type="dxa" w:w="1440"/>
          </w:tcPr>
          <w:p>
            <w:r/>
            <w:r>
              <w:rPr>
                <w:sz w:val="18"/>
              </w:rPr>
              <w:t>6</w:t>
            </w:r>
          </w:p>
        </w:tc>
        <w:tc>
          <w:tcPr>
            <w:tcW w:type="dxa" w:w="2736"/>
          </w:tcPr>
          <w:p>
            <w:r/>
            <w:r>
              <w:rPr>
                <w:sz w:val="18"/>
              </w:rPr>
              <w:t>1.000</w:t>
            </w:r>
          </w:p>
        </w:tc>
        <w:tc>
          <w:tcPr>
            <w:tcW w:type="dxa" w:w="2880"/>
          </w:tcPr>
          <w:p>
            <w:r/>
            <w:r>
              <w:rPr>
                <w:sz w:val="18"/>
              </w:rPr>
              <w:t>1.000</w:t>
            </w:r>
          </w:p>
        </w:tc>
      </w:tr>
    </w:tbl>
    <w:p/>
    <w:p>
      <w:r>
        <w:rPr>
          <w:i w:val="0"/>
          <w:sz w:val="22"/>
        </w:rPr>
        <w:t>The null model moves from 0.496 at δ = 0, correctly indicating no skill, to 0.910 at δ = 2 and 1.000 at δ = 6. A model that has learned nothing can therefore be made to report any AUC up to unity purely by choosing where its absences are drawn from. The informative arm is already near ceiling throughout, so once δ exceeds about 3 the two arms are indistinguishable: beyond that point a reported AUC cannot separate a model that works from one that does not.</w:t>
      </w:r>
    </w:p>
    <w:p>
      <w:pPr>
        <w:jc w:val="center"/>
      </w:pPr>
      <w:r>
        <w:drawing>
          <wp:inline xmlns:a="http://schemas.openxmlformats.org/drawingml/2006/main" xmlns:pic="http://schemas.openxmlformats.org/drawingml/2006/picture">
            <wp:extent cx="5486400" cy="3269779"/>
            <wp:docPr id="2" name="Picture 2"/>
            <wp:cNvGraphicFramePr>
              <a:graphicFrameLocks noChangeAspect="1"/>
            </wp:cNvGraphicFramePr>
            <a:graphic>
              <a:graphicData uri="http://schemas.openxmlformats.org/drawingml/2006/picture">
                <pic:pic>
                  <pic:nvPicPr>
                    <pic:cNvPr id="0" name="fig_inflation_law.png"/>
                    <pic:cNvPicPr/>
                  </pic:nvPicPr>
                  <pic:blipFill>
                    <a:blip r:embed="rId10"/>
                    <a:stretch>
                      <a:fillRect/>
                    </a:stretch>
                  </pic:blipFill>
                  <pic:spPr>
                    <a:xfrm>
                      <a:off x="0" y="0"/>
                      <a:ext cx="5486400" cy="3269779"/>
                    </a:xfrm>
                    <a:prstGeom prst="rect"/>
                  </pic:spPr>
                </pic:pic>
              </a:graphicData>
            </a:graphic>
          </wp:inline>
        </w:drawing>
      </w:r>
    </w:p>
    <w:p>
      <w:pPr>
        <w:jc w:val="center"/>
      </w:pPr>
      <w:r>
        <w:rPr>
          <w:i/>
          <w:sz w:val="18"/>
        </w:rPr>
        <w:t>Figure 2. Reported AUC against absence displacement. Dashed lines mark where real absence designs fall on the same axis.</w:t>
      </w:r>
    </w:p>
    <w:p>
      <w:r>
        <w:rPr>
          <w:i w:val="0"/>
          <w:sz w:val="22"/>
        </w:rPr>
        <w:t>Measuring the three real designs used in this study on the same scale places the published protocol at δ = 7.06, terrain-matched absences at δ = 2.15, and terrain-and-aspect matching with corrected labels at δ = 1.07. At δ = 7.06 the simulation predicts that even a model with no information scores 1.000 — and 1.000 is what the published protocol returns on real data (Section 4.2). The artefact is therefore not incidental to one dataset; it is the expected consequence of the design.</w:t>
      </w:r>
    </w:p>
    <w:p>
      <w:r>
        <w:rPr>
          <w:i w:val="0"/>
          <w:sz w:val="22"/>
        </w:rPr>
        <w:t>A synthetic result invites the objection that it reflects the authors' construction rather than the problem, so the null arm was repeated while varying the learner, the number of predictors and the sample size. The inflation is essentially unchanged throughout: across six settings the null-model AUC differs by at most 0.030 at any displacement, and by 0.001 at δ = 6. The behaviour is a property of evaluating a presence-only model against constructed absences, not of this particular simulation.</w:t>
      </w:r>
    </w:p>
    <w:p>
      <w:r>
        <w:rPr>
          <w:i w:val="0"/>
          <w:sz w:val="22"/>
        </w:rPr>
        <w:t>Full results for both invariance checks are given in the supplementary material (Tables S1 and S2).</w:t>
      </w:r>
    </w:p>
    <w:p>
      <w:pPr>
        <w:pStyle w:val="Heading2"/>
      </w:pPr>
      <w:r>
        <w:rPr>
          <w:color w:val="0B3D5C"/>
        </w:rPr>
        <w:t>4.2 What a reported AUC cannot recover</w:t>
      </w:r>
    </w:p>
    <w:p>
      <w:r>
        <w:rPr>
          <w:i w:val="0"/>
          <w:sz w:val="22"/>
        </w:rPr>
        <w:t>The natural response to Section 4.1 is to remove the design's contribution and keep the remainder as the model's. We pursued that and report here why it cannot work, because the reason is more informative than the method would have been.</w:t>
      </w:r>
    </w:p>
    <w:p>
      <w:r>
        <w:rPr>
          <w:i w:val="0"/>
          <w:sz w:val="22"/>
        </w:rPr>
        <w:t>An AUC is a function of two class-conditional distributions and nothing else. A difference between presences and absences enters those distributions identically whether it arises because presences are genuinely different terrain or because the absences were drawn from elsewhere. No statistic computed from the two samples can attribute it, since the samples are all there is.</w:t>
      </w:r>
    </w:p>
    <w:p>
      <w:r>
        <w:rPr>
          <w:i w:val="0"/>
          <w:sz w:val="22"/>
        </w:rPr>
        <w:t>That this bites in practice, and not only in principle, can be shown by construction. Two synthetic worlds were built. In the first, predictors are strongly related to true susceptibility and absences are drawn from terrain like the presences. In the second, predictors are weakly related and absences are drawn from further away. Parameters were chosen so the observed clouds nearly coincide.</w:t>
      </w:r>
    </w:p>
    <w:p>
      <w:r>
        <w:rPr>
          <w:b/>
          <w:sz w:val="19"/>
        </w:rPr>
        <w:t>Table 2. Two worlds with nearly identical observable data and different true skill.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World</w:t>
            </w:r>
          </w:p>
        </w:tc>
        <w:tc>
          <w:tcPr>
            <w:tcW w:type="dxa" w:w="2448"/>
          </w:tcPr>
          <w:p>
            <w:r/>
            <w:r>
              <w:rPr>
                <w:b/>
                <w:sz w:val="18"/>
              </w:rPr>
              <w:t>Observed presence–absence gap</w:t>
            </w:r>
          </w:p>
        </w:tc>
        <w:tc>
          <w:tcPr>
            <w:tcW w:type="dxa" w:w="1440"/>
          </w:tcPr>
          <w:p>
            <w:r/>
            <w:r>
              <w:rPr>
                <w:b/>
                <w:sz w:val="18"/>
              </w:rPr>
              <w:t>Reported AUC</w:t>
            </w:r>
          </w:p>
        </w:tc>
        <w:tc>
          <w:tcPr>
            <w:tcW w:type="dxa" w:w="2016"/>
          </w:tcPr>
          <w:p>
            <w:r/>
            <w:r>
              <w:rPr>
                <w:b/>
                <w:sz w:val="18"/>
              </w:rPr>
              <w:t>AUC against true absences</w:t>
            </w:r>
          </w:p>
        </w:tc>
      </w:tr>
      <w:tr>
        <w:tc>
          <w:tcPr>
            <w:tcW w:type="dxa" w:w="3600"/>
          </w:tcPr>
          <w:p>
            <w:r/>
            <w:r>
              <w:rPr>
                <w:sz w:val="18"/>
              </w:rPr>
              <w:t>A  informative predictors, honest absences</w:t>
            </w:r>
          </w:p>
        </w:tc>
        <w:tc>
          <w:tcPr>
            <w:tcW w:type="dxa" w:w="2448"/>
          </w:tcPr>
          <w:p>
            <w:r/>
            <w:r>
              <w:rPr>
                <w:sz w:val="18"/>
              </w:rPr>
              <w:t>2.405</w:t>
            </w:r>
          </w:p>
        </w:tc>
        <w:tc>
          <w:tcPr>
            <w:tcW w:type="dxa" w:w="1440"/>
          </w:tcPr>
          <w:p>
            <w:r/>
            <w:r>
              <w:rPr>
                <w:sz w:val="18"/>
              </w:rPr>
              <w:t>0.950</w:t>
            </w:r>
          </w:p>
        </w:tc>
        <w:tc>
          <w:tcPr>
            <w:tcW w:type="dxa" w:w="2016"/>
          </w:tcPr>
          <w:p>
            <w:r/>
            <w:r>
              <w:rPr>
                <w:sz w:val="18"/>
              </w:rPr>
              <w:t>0.987</w:t>
            </w:r>
          </w:p>
        </w:tc>
      </w:tr>
      <w:tr>
        <w:tc>
          <w:tcPr>
            <w:tcW w:type="dxa" w:w="3600"/>
          </w:tcPr>
          <w:p>
            <w:r/>
            <w:r>
              <w:rPr>
                <w:sz w:val="18"/>
              </w:rPr>
              <w:t>B  weak predictors, displaced absences</w:t>
            </w:r>
          </w:p>
        </w:tc>
        <w:tc>
          <w:tcPr>
            <w:tcW w:type="dxa" w:w="2448"/>
          </w:tcPr>
          <w:p>
            <w:r/>
            <w:r>
              <w:rPr>
                <w:sz w:val="18"/>
              </w:rPr>
              <w:t>2.383</w:t>
            </w:r>
          </w:p>
        </w:tc>
        <w:tc>
          <w:tcPr>
            <w:tcW w:type="dxa" w:w="1440"/>
          </w:tcPr>
          <w:p>
            <w:r/>
            <w:r>
              <w:rPr>
                <w:sz w:val="18"/>
              </w:rPr>
              <w:t>0.908</w:t>
            </w:r>
          </w:p>
        </w:tc>
        <w:tc>
          <w:tcPr>
            <w:tcW w:type="dxa" w:w="2016"/>
          </w:tcPr>
          <w:p>
            <w:r/>
            <w:r>
              <w:rPr>
                <w:sz w:val="18"/>
              </w:rPr>
              <w:t>0.707</w:t>
            </w:r>
          </w:p>
        </w:tc>
      </w:tr>
    </w:tbl>
    <w:p/>
    <w:p>
      <w:r>
        <w:rPr>
          <w:i w:val="0"/>
          <w:sz w:val="22"/>
        </w:rPr>
        <w:t>The observed separations differ by 0.022 and the reported AUCs by 0.043. Measured against true absences — which no presence-only study possesses — the two differ by 0.281, roughly six times as much. Data that a study could not tell apart correspond to models that differ substantially in what a reader cares about.</w:t>
      </w:r>
    </w:p>
    <w:p>
      <w:r>
        <w:rPr>
          <w:i w:val="0"/>
          <w:sz w:val="22"/>
        </w:rPr>
        <w:t>Attempts to construct a null baseline from a study's own data fail for the same reason, and we report them so the obstacle is not mistaken for an oversight. Generating synthetic classes matched to the observed means and covariances yields a baseline of 0.989 for the corrected configuration, above its own reported AUC, because Gaussian clouds at those moments are easier to separate than the real data: the construction discards exactly the within-class overlap that makes the real problem hard. Resampling real rows within each class preserves the signal intact and is therefore not a null at all. Nor is the separability measure canonical — for the published protocol the diagonal form gives 7.06 standard deviations and the Mahalanobis form 4.64, so a baseline read off a δ axis inherits the choice of measure.</w:t>
      </w:r>
    </w:p>
    <w:p>
      <w:r>
        <w:rPr>
          <w:i w:val="0"/>
          <w:sz w:val="22"/>
        </w:rPr>
        <w:t>Two failed constructions do not establish that every conceivable null must fail, and we do not claim a general impossibility theorem. What the two-world construction establishes is sharper and sufficient: under the observational setup a presence-only study actually has — the presence sample, the absence sample, and the predictors — two models whose true skill differs by 0.281 can produce data a study could not tell apart. Any correction must therefore import information from outside that setup, such as verified true absences or a second independently designed absence set. Stating the null hypothesis precisely matters here: we test the hypothesis that predictors carry no information about occurrence beyond what the sampling design induces, which is not the same as testing for no association after conditioning on spatial structure.</w:t>
      </w:r>
    </w:p>
    <w:p>
      <w:r>
        <w:rPr>
          <w:i w:val="0"/>
          <w:sz w:val="22"/>
        </w:rPr>
        <w:t>We therefore withdraw our proposal to correct a reported AUC, and state the limit instead: the absolute skill of a presence-only susceptibility model is not recoverable from the data it was fitted to alone. What remains identifiable is the RELATIVE effect of the absence design, obtained by holding the presences, the predictors and the model fixed and varying only how absences are drawn. That comparison is the subject of the remaining sections, and it is available to any study at the cost of running its own pipeline a second time.</w:t>
      </w:r>
    </w:p>
    <w:p>
      <w:pPr>
        <w:pStyle w:val="Heading2"/>
      </w:pPr>
      <w:r>
        <w:rPr>
          <w:color w:val="0B3D5C"/>
        </w:rPr>
        <w:t>4.3 Whether label error can account for the result</w:t>
      </w:r>
    </w:p>
    <w:p>
      <w:r>
        <w:rPr>
          <w:i w:val="0"/>
          <w:sz w:val="22"/>
        </w:rPr>
        <w:t>Every configuration compared here uses identical labels, which controls for label quality only if the errors are distributed like the true events in predictor space. Checking our own, they are not: detections rejected on review sit 908 m lower than verified ones (3,186 m against 4,094 m, Mann-Whitney p = 0.038), which is what melt-out contamination should look like, since ablation begins at lower elevations. Slope and aspect differences are not significant, though with three verified events those tests have little power. Because background points are matched on elevation, this error structure is correlated with a variable the sampling design acts on, and the assumption that labels affect all designs equally cannot simply be asserted.</w:t>
      </w:r>
    </w:p>
    <w:p>
      <w:r>
        <w:rPr>
          <w:i w:val="0"/>
          <w:sz w:val="22"/>
        </w:rPr>
        <w:t>We therefore tested it. A fraction of synthetic presences was replaced by points drawn from the low end of the informative axis — the analogue of melt-out false positives at low elevation — and the displacement curve recomputed.</w:t>
      </w:r>
    </w:p>
    <w:p>
      <w:r>
        <w:rPr>
          <w:b/>
          <w:sz w:val="19"/>
        </w:rPr>
        <w:t>Table 3. Reported AUC under structured label contamination.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
              <w:rPr>
                <w:b/>
                <w:sz w:val="18"/>
              </w:rPr>
              <w:t>Contaminated presences</w:t>
            </w:r>
          </w:p>
        </w:tc>
        <w:tc>
          <w:tcPr>
            <w:tcW w:type="dxa" w:w="907"/>
          </w:tcPr>
          <w:p>
            <w:r/>
            <w:r>
              <w:rPr>
                <w:b/>
                <w:sz w:val="18"/>
              </w:rPr>
              <w:t>δ=0</w:t>
            </w:r>
          </w:p>
        </w:tc>
        <w:tc>
          <w:tcPr>
            <w:tcW w:type="dxa" w:w="907"/>
          </w:tcPr>
          <w:p>
            <w:r/>
            <w:r>
              <w:rPr>
                <w:b/>
                <w:sz w:val="18"/>
              </w:rPr>
              <w:t>δ=1</w:t>
            </w:r>
          </w:p>
        </w:tc>
        <w:tc>
          <w:tcPr>
            <w:tcW w:type="dxa" w:w="907"/>
          </w:tcPr>
          <w:p>
            <w:r/>
            <w:r>
              <w:rPr>
                <w:b/>
                <w:sz w:val="18"/>
              </w:rPr>
              <w:t>δ=2</w:t>
            </w:r>
          </w:p>
        </w:tc>
        <w:tc>
          <w:tcPr>
            <w:tcW w:type="dxa" w:w="907"/>
          </w:tcPr>
          <w:p>
            <w:r/>
            <w:r>
              <w:rPr>
                <w:b/>
                <w:sz w:val="18"/>
              </w:rPr>
              <w:t>δ=3</w:t>
            </w:r>
          </w:p>
        </w:tc>
        <w:tc>
          <w:tcPr>
            <w:tcW w:type="dxa" w:w="907"/>
          </w:tcPr>
          <w:p>
            <w:r/>
            <w:r>
              <w:rPr>
                <w:b/>
                <w:sz w:val="18"/>
              </w:rPr>
              <w:t>δ=4</w:t>
            </w:r>
          </w:p>
        </w:tc>
        <w:tc>
          <w:tcPr>
            <w:tcW w:type="dxa" w:w="907"/>
          </w:tcPr>
          <w:p>
            <w:r/>
            <w:r>
              <w:rPr>
                <w:b/>
                <w:sz w:val="18"/>
              </w:rPr>
              <w:t>δ=6</w:t>
            </w:r>
          </w:p>
        </w:tc>
      </w:tr>
      <w:tr>
        <w:tc>
          <w:tcPr>
            <w:tcW w:type="dxa" w:w="2736"/>
          </w:tcPr>
          <w:p>
            <w:r/>
            <w:r>
              <w:rPr>
                <w:sz w:val="18"/>
              </w:rPr>
              <w:t>0%</w:t>
            </w:r>
          </w:p>
        </w:tc>
        <w:tc>
          <w:tcPr>
            <w:tcW w:type="dxa" w:w="907"/>
          </w:tcPr>
          <w:p>
            <w:r/>
            <w:r>
              <w:rPr>
                <w:sz w:val="18"/>
              </w:rPr>
              <w:t>0.979</w:t>
            </w:r>
          </w:p>
        </w:tc>
        <w:tc>
          <w:tcPr>
            <w:tcW w:type="dxa" w:w="907"/>
          </w:tcPr>
          <w:p>
            <w:r/>
            <w:r>
              <w:rPr>
                <w:sz w:val="18"/>
              </w:rPr>
              <w:t>0.984</w:t>
            </w:r>
          </w:p>
        </w:tc>
        <w:tc>
          <w:tcPr>
            <w:tcW w:type="dxa" w:w="907"/>
          </w:tcPr>
          <w:p>
            <w:r/>
            <w:r>
              <w:rPr>
                <w:sz w:val="18"/>
              </w:rPr>
              <w:t>0.994</w:t>
            </w:r>
          </w:p>
        </w:tc>
        <w:tc>
          <w:tcPr>
            <w:tcW w:type="dxa" w:w="907"/>
          </w:tcPr>
          <w:p>
            <w:r/>
            <w:r>
              <w:rPr>
                <w:sz w:val="18"/>
              </w:rPr>
              <w:t>0.999</w:t>
            </w:r>
          </w:p>
        </w:tc>
        <w:tc>
          <w:tcPr>
            <w:tcW w:type="dxa" w:w="907"/>
          </w:tcPr>
          <w:p>
            <w:r/>
            <w:r>
              <w:rPr>
                <w:sz w:val="18"/>
              </w:rPr>
              <w:t>1.000</w:t>
            </w:r>
          </w:p>
        </w:tc>
        <w:tc>
          <w:tcPr>
            <w:tcW w:type="dxa" w:w="907"/>
          </w:tcPr>
          <w:p>
            <w:r/>
            <w:r>
              <w:rPr>
                <w:sz w:val="18"/>
              </w:rPr>
              <w:t>1.000</w:t>
            </w:r>
          </w:p>
        </w:tc>
      </w:tr>
      <w:tr>
        <w:tc>
          <w:tcPr>
            <w:tcW w:type="dxa" w:w="2736"/>
          </w:tcPr>
          <w:p>
            <w:r/>
            <w:r>
              <w:rPr>
                <w:sz w:val="18"/>
              </w:rPr>
              <w:t>20%</w:t>
            </w:r>
          </w:p>
        </w:tc>
        <w:tc>
          <w:tcPr>
            <w:tcW w:type="dxa" w:w="907"/>
          </w:tcPr>
          <w:p>
            <w:r/>
            <w:r>
              <w:rPr>
                <w:sz w:val="18"/>
              </w:rPr>
              <w:t>0.891</w:t>
            </w:r>
          </w:p>
        </w:tc>
        <w:tc>
          <w:tcPr>
            <w:tcW w:type="dxa" w:w="907"/>
          </w:tcPr>
          <w:p>
            <w:r/>
            <w:r>
              <w:rPr>
                <w:sz w:val="18"/>
              </w:rPr>
              <w:t>0.932</w:t>
            </w:r>
          </w:p>
        </w:tc>
        <w:tc>
          <w:tcPr>
            <w:tcW w:type="dxa" w:w="907"/>
          </w:tcPr>
          <w:p>
            <w:r/>
            <w:r>
              <w:rPr>
                <w:sz w:val="18"/>
              </w:rPr>
              <w:t>0.976</w:t>
            </w:r>
          </w:p>
        </w:tc>
        <w:tc>
          <w:tcPr>
            <w:tcW w:type="dxa" w:w="907"/>
          </w:tcPr>
          <w:p>
            <w:r/>
            <w:r>
              <w:rPr>
                <w:sz w:val="18"/>
              </w:rPr>
              <w:t>0.994</w:t>
            </w:r>
          </w:p>
        </w:tc>
        <w:tc>
          <w:tcPr>
            <w:tcW w:type="dxa" w:w="907"/>
          </w:tcPr>
          <w:p>
            <w:r/>
            <w:r>
              <w:rPr>
                <w:sz w:val="18"/>
              </w:rPr>
              <w:t>0.999</w:t>
            </w:r>
          </w:p>
        </w:tc>
        <w:tc>
          <w:tcPr>
            <w:tcW w:type="dxa" w:w="907"/>
          </w:tcPr>
          <w:p>
            <w:r/>
            <w:r>
              <w:rPr>
                <w:sz w:val="18"/>
              </w:rPr>
              <w:t>1.000</w:t>
            </w:r>
          </w:p>
        </w:tc>
      </w:tr>
      <w:tr>
        <w:tc>
          <w:tcPr>
            <w:tcW w:type="dxa" w:w="2736"/>
          </w:tcPr>
          <w:p>
            <w:r/>
            <w:r>
              <w:rPr>
                <w:sz w:val="18"/>
              </w:rPr>
              <w:t>50%</w:t>
            </w:r>
          </w:p>
        </w:tc>
        <w:tc>
          <w:tcPr>
            <w:tcW w:type="dxa" w:w="907"/>
          </w:tcPr>
          <w:p>
            <w:r/>
            <w:r>
              <w:rPr>
                <w:sz w:val="18"/>
              </w:rPr>
              <w:t>0.766</w:t>
            </w:r>
          </w:p>
        </w:tc>
        <w:tc>
          <w:tcPr>
            <w:tcW w:type="dxa" w:w="907"/>
          </w:tcPr>
          <w:p>
            <w:r/>
            <w:r>
              <w:rPr>
                <w:sz w:val="18"/>
              </w:rPr>
              <w:t>0.868</w:t>
            </w:r>
          </w:p>
        </w:tc>
        <w:tc>
          <w:tcPr>
            <w:tcW w:type="dxa" w:w="907"/>
          </w:tcPr>
          <w:p>
            <w:r/>
            <w:r>
              <w:rPr>
                <w:sz w:val="18"/>
              </w:rPr>
              <w:t>0.953</w:t>
            </w:r>
          </w:p>
        </w:tc>
        <w:tc>
          <w:tcPr>
            <w:tcW w:type="dxa" w:w="907"/>
          </w:tcPr>
          <w:p>
            <w:r/>
            <w:r>
              <w:rPr>
                <w:sz w:val="18"/>
              </w:rPr>
              <w:t>0.986</w:t>
            </w:r>
          </w:p>
        </w:tc>
        <w:tc>
          <w:tcPr>
            <w:tcW w:type="dxa" w:w="907"/>
          </w:tcPr>
          <w:p>
            <w:r/>
            <w:r>
              <w:rPr>
                <w:sz w:val="18"/>
              </w:rPr>
              <w:t>0.996</w:t>
            </w:r>
          </w:p>
        </w:tc>
        <w:tc>
          <w:tcPr>
            <w:tcW w:type="dxa" w:w="907"/>
          </w:tcPr>
          <w:p>
            <w:r/>
            <w:r>
              <w:rPr>
                <w:sz w:val="18"/>
              </w:rPr>
              <w:t>1.000</w:t>
            </w:r>
          </w:p>
        </w:tc>
      </w:tr>
      <w:tr>
        <w:tc>
          <w:tcPr>
            <w:tcW w:type="dxa" w:w="2736"/>
          </w:tcPr>
          <w:p>
            <w:r/>
            <w:r>
              <w:rPr>
                <w:sz w:val="18"/>
              </w:rPr>
              <w:t>80%</w:t>
            </w:r>
          </w:p>
        </w:tc>
        <w:tc>
          <w:tcPr>
            <w:tcW w:type="dxa" w:w="907"/>
          </w:tcPr>
          <w:p>
            <w:r/>
            <w:r>
              <w:rPr>
                <w:sz w:val="18"/>
              </w:rPr>
              <w:t>0.629</w:t>
            </w:r>
          </w:p>
        </w:tc>
        <w:tc>
          <w:tcPr>
            <w:tcW w:type="dxa" w:w="907"/>
          </w:tcPr>
          <w:p>
            <w:r/>
            <w:r>
              <w:rPr>
                <w:sz w:val="18"/>
              </w:rPr>
              <w:t>0.798</w:t>
            </w:r>
          </w:p>
        </w:tc>
        <w:tc>
          <w:tcPr>
            <w:tcW w:type="dxa" w:w="907"/>
          </w:tcPr>
          <w:p>
            <w:r/>
            <w:r>
              <w:rPr>
                <w:sz w:val="18"/>
              </w:rPr>
              <w:t>0.932</w:t>
            </w:r>
          </w:p>
        </w:tc>
        <w:tc>
          <w:tcPr>
            <w:tcW w:type="dxa" w:w="907"/>
          </w:tcPr>
          <w:p>
            <w:r/>
            <w:r>
              <w:rPr>
                <w:sz w:val="18"/>
              </w:rPr>
              <w:t>0.980</w:t>
            </w:r>
          </w:p>
        </w:tc>
        <w:tc>
          <w:tcPr>
            <w:tcW w:type="dxa" w:w="907"/>
          </w:tcPr>
          <w:p>
            <w:r/>
            <w:r>
              <w:rPr>
                <w:sz w:val="18"/>
              </w:rPr>
              <w:t>0.995</w:t>
            </w:r>
          </w:p>
        </w:tc>
        <w:tc>
          <w:tcPr>
            <w:tcW w:type="dxa" w:w="907"/>
          </w:tcPr>
          <w:p>
            <w:r/>
            <w:r>
              <w:rPr>
                <w:sz w:val="18"/>
              </w:rPr>
              <w:t>0.999</w:t>
            </w:r>
          </w:p>
        </w:tc>
      </w:tr>
    </w:tbl>
    <w:p/>
    <w:p>
      <w:r>
        <w:rPr>
          <w:i w:val="0"/>
          <w:sz w:val="22"/>
        </w:rPr>
        <w:t>At δ = 0 contamination matters a great deal: reported AUC falls from 0.979 to 0.629 as the contaminated fraction rises to 80%. By δ = 3 the spread across contamination rates is 0.019, and by δ = 6 it is 0.001. At the separability of the published protocol an inventory that is 80% false positives reports the same value as a clean one — the displacement overwhelms the label quality entirely. Structured label error therefore cannot account for the inflation result; if anything it sharpens it, since at high separability the reported score ceases to respond to label quality at all.</w:t>
      </w:r>
    </w:p>
    <w:p>
      <w:r>
        <w:rPr>
          <w:i w:val="0"/>
          <w:sz w:val="22"/>
        </w:rPr>
        <w:t>The corollary constrains our own empirical figures. The corrected configuration sits at δ ≈ 1, where contamination still moves reported AUC by up to 0.187. Its value of 0.866 is therefore sensitive to inventory precision in a way the published protocol's 1.000 is not, and should be read with that in mind.</w:t>
      </w:r>
    </w:p>
    <w:p>
      <w:pPr>
        <w:pStyle w:val="Heading2"/>
      </w:pPr>
      <w:r>
        <w:rPr>
          <w:color w:val="0B3D5C"/>
        </w:rPr>
        <w:t>4.4 Training against bad absences versus reporting against them</w:t>
      </w:r>
    </w:p>
    <w:p>
      <w:r>
        <w:rPr>
          <w:i w:val="0"/>
          <w:sz w:val="22"/>
        </w:rPr>
        <w:t>A distinction the preceding sections leave open is whether a model TRAINED on poorly chosen absences is itself damaged, or whether only the number it reports is. We separate the two by training on absences at varying displacement and evaluating every model on one fixed reference set. In the simulation that reference set is available because the data-generating process is known: its negatives are drawn from the region where true susceptibility is low, so they are genuine non-events rather than merely comparable terrain. No real presence-only study has this, and the distinction is developed in Section 5.2.</w:t>
      </w:r>
    </w:p>
    <w:p>
      <w:r>
        <w:rPr>
          <w:b/>
          <w:sz w:val="19"/>
        </w:rPr>
        <w:t>Table 4. AUC on a fixed reference set of true non-events, by how the training absences were drawn. Such a set exists only in simulation.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
              <w:rPr>
                <w:b/>
                <w:sz w:val="18"/>
              </w:rPr>
              <w:t>Training δ</w:t>
            </w:r>
          </w:p>
        </w:tc>
        <w:tc>
          <w:tcPr>
            <w:tcW w:type="dxa" w:w="2304"/>
          </w:tcPr>
          <w:p>
            <w:r/>
            <w:r>
              <w:rPr>
                <w:b/>
                <w:sz w:val="18"/>
              </w:rPr>
              <w:t>Ordinary classifier</w:t>
            </w:r>
          </w:p>
        </w:tc>
        <w:tc>
          <w:tcPr>
            <w:tcW w:type="dxa" w:w="1872"/>
          </w:tcPr>
          <w:p>
            <w:r/>
            <w:r>
              <w:rPr>
                <w:b/>
                <w:sz w:val="18"/>
              </w:rPr>
              <w:t>PU-corrected</w:t>
            </w:r>
          </w:p>
        </w:tc>
        <w:tc>
          <w:tcPr>
            <w:tcW w:type="dxa" w:w="2736"/>
          </w:tcPr>
          <w:p>
            <w:r/>
            <w:r>
              <w:rPr>
                <w:b/>
                <w:sz w:val="18"/>
              </w:rPr>
              <w:t>Presence-only (one-class)</w:t>
            </w:r>
          </w:p>
        </w:tc>
      </w:tr>
      <w:tr>
        <w:tc>
          <w:tcPr>
            <w:tcW w:type="dxa" w:w="1440"/>
          </w:tcPr>
          <w:p>
            <w:r/>
            <w:r>
              <w:rPr>
                <w:sz w:val="18"/>
              </w:rPr>
              <w:t>0</w:t>
            </w:r>
          </w:p>
        </w:tc>
        <w:tc>
          <w:tcPr>
            <w:tcW w:type="dxa" w:w="2304"/>
          </w:tcPr>
          <w:p>
            <w:r/>
            <w:r>
              <w:rPr>
                <w:sz w:val="18"/>
              </w:rPr>
              <w:t>0.975</w:t>
            </w:r>
          </w:p>
        </w:tc>
        <w:tc>
          <w:tcPr>
            <w:tcW w:type="dxa" w:w="1872"/>
          </w:tcPr>
          <w:p>
            <w:r/>
            <w:r>
              <w:rPr>
                <w:sz w:val="18"/>
              </w:rPr>
              <w:t>0.975</w:t>
            </w:r>
          </w:p>
        </w:tc>
        <w:tc>
          <w:tcPr>
            <w:tcW w:type="dxa" w:w="2736"/>
          </w:tcPr>
          <w:p>
            <w:r/>
            <w:r>
              <w:rPr>
                <w:sz w:val="18"/>
              </w:rPr>
              <w:t>0.819</w:t>
            </w:r>
          </w:p>
        </w:tc>
      </w:tr>
      <w:tr>
        <w:tc>
          <w:tcPr>
            <w:tcW w:type="dxa" w:w="1440"/>
          </w:tcPr>
          <w:p>
            <w:r/>
            <w:r>
              <w:rPr>
                <w:sz w:val="18"/>
              </w:rPr>
              <w:t>1</w:t>
            </w:r>
          </w:p>
        </w:tc>
        <w:tc>
          <w:tcPr>
            <w:tcW w:type="dxa" w:w="2304"/>
          </w:tcPr>
          <w:p>
            <w:r/>
            <w:r>
              <w:rPr>
                <w:sz w:val="18"/>
              </w:rPr>
              <w:t>0.969</w:t>
            </w:r>
          </w:p>
        </w:tc>
        <w:tc>
          <w:tcPr>
            <w:tcW w:type="dxa" w:w="1872"/>
          </w:tcPr>
          <w:p>
            <w:r/>
            <w:r>
              <w:rPr>
                <w:sz w:val="18"/>
              </w:rPr>
              <w:t>0.969</w:t>
            </w:r>
          </w:p>
        </w:tc>
        <w:tc>
          <w:tcPr>
            <w:tcW w:type="dxa" w:w="2736"/>
          </w:tcPr>
          <w:p>
            <w:r/>
            <w:r>
              <w:rPr>
                <w:sz w:val="18"/>
              </w:rPr>
              <w:t>0.819</w:t>
            </w:r>
          </w:p>
        </w:tc>
      </w:tr>
      <w:tr>
        <w:tc>
          <w:tcPr>
            <w:tcW w:type="dxa" w:w="1440"/>
          </w:tcPr>
          <w:p>
            <w:r/>
            <w:r>
              <w:rPr>
                <w:sz w:val="18"/>
              </w:rPr>
              <w:t>2</w:t>
            </w:r>
          </w:p>
        </w:tc>
        <w:tc>
          <w:tcPr>
            <w:tcW w:type="dxa" w:w="2304"/>
          </w:tcPr>
          <w:p>
            <w:r/>
            <w:r>
              <w:rPr>
                <w:sz w:val="18"/>
              </w:rPr>
              <w:t>0.959</w:t>
            </w:r>
          </w:p>
        </w:tc>
        <w:tc>
          <w:tcPr>
            <w:tcW w:type="dxa" w:w="1872"/>
          </w:tcPr>
          <w:p>
            <w:r/>
            <w:r>
              <w:rPr>
                <w:sz w:val="18"/>
              </w:rPr>
              <w:t>0.959</w:t>
            </w:r>
          </w:p>
        </w:tc>
        <w:tc>
          <w:tcPr>
            <w:tcW w:type="dxa" w:w="2736"/>
          </w:tcPr>
          <w:p>
            <w:r/>
            <w:r>
              <w:rPr>
                <w:sz w:val="18"/>
              </w:rPr>
              <w:t>0.819</w:t>
            </w:r>
          </w:p>
        </w:tc>
      </w:tr>
      <w:tr>
        <w:tc>
          <w:tcPr>
            <w:tcW w:type="dxa" w:w="1440"/>
          </w:tcPr>
          <w:p>
            <w:r/>
            <w:r>
              <w:rPr>
                <w:sz w:val="18"/>
              </w:rPr>
              <w:t>3</w:t>
            </w:r>
          </w:p>
        </w:tc>
        <w:tc>
          <w:tcPr>
            <w:tcW w:type="dxa" w:w="2304"/>
          </w:tcPr>
          <w:p>
            <w:r/>
            <w:r>
              <w:rPr>
                <w:sz w:val="18"/>
              </w:rPr>
              <w:t>0.952</w:t>
            </w:r>
          </w:p>
        </w:tc>
        <w:tc>
          <w:tcPr>
            <w:tcW w:type="dxa" w:w="1872"/>
          </w:tcPr>
          <w:p>
            <w:r/>
            <w:r>
              <w:rPr>
                <w:sz w:val="18"/>
              </w:rPr>
              <w:t>0.952</w:t>
            </w:r>
          </w:p>
        </w:tc>
        <w:tc>
          <w:tcPr>
            <w:tcW w:type="dxa" w:w="2736"/>
          </w:tcPr>
          <w:p>
            <w:r/>
            <w:r>
              <w:rPr>
                <w:sz w:val="18"/>
              </w:rPr>
              <w:t>0.819</w:t>
            </w:r>
          </w:p>
        </w:tc>
      </w:tr>
      <w:tr>
        <w:tc>
          <w:tcPr>
            <w:tcW w:type="dxa" w:w="1440"/>
          </w:tcPr>
          <w:p>
            <w:r/>
            <w:r>
              <w:rPr>
                <w:sz w:val="18"/>
              </w:rPr>
              <w:t>4</w:t>
            </w:r>
          </w:p>
        </w:tc>
        <w:tc>
          <w:tcPr>
            <w:tcW w:type="dxa" w:w="2304"/>
          </w:tcPr>
          <w:p>
            <w:r/>
            <w:r>
              <w:rPr>
                <w:sz w:val="18"/>
              </w:rPr>
              <w:t>0.955</w:t>
            </w:r>
          </w:p>
        </w:tc>
        <w:tc>
          <w:tcPr>
            <w:tcW w:type="dxa" w:w="1872"/>
          </w:tcPr>
          <w:p>
            <w:r/>
            <w:r>
              <w:rPr>
                <w:sz w:val="18"/>
              </w:rPr>
              <w:t>0.955</w:t>
            </w:r>
          </w:p>
        </w:tc>
        <w:tc>
          <w:tcPr>
            <w:tcW w:type="dxa" w:w="2736"/>
          </w:tcPr>
          <w:p>
            <w:r/>
            <w:r>
              <w:rPr>
                <w:sz w:val="18"/>
              </w:rPr>
              <w:t>0.819</w:t>
            </w:r>
          </w:p>
        </w:tc>
      </w:tr>
      <w:tr>
        <w:tc>
          <w:tcPr>
            <w:tcW w:type="dxa" w:w="1440"/>
          </w:tcPr>
          <w:p>
            <w:r/>
            <w:r>
              <w:rPr>
                <w:sz w:val="18"/>
              </w:rPr>
              <w:t>6</w:t>
            </w:r>
          </w:p>
        </w:tc>
        <w:tc>
          <w:tcPr>
            <w:tcW w:type="dxa" w:w="2304"/>
          </w:tcPr>
          <w:p>
            <w:r/>
            <w:r>
              <w:rPr>
                <w:sz w:val="18"/>
              </w:rPr>
              <w:t>0.964</w:t>
            </w:r>
          </w:p>
        </w:tc>
        <w:tc>
          <w:tcPr>
            <w:tcW w:type="dxa" w:w="1872"/>
          </w:tcPr>
          <w:p>
            <w:r/>
            <w:r>
              <w:rPr>
                <w:sz w:val="18"/>
              </w:rPr>
              <w:t>0.964</w:t>
            </w:r>
          </w:p>
        </w:tc>
        <w:tc>
          <w:tcPr>
            <w:tcW w:type="dxa" w:w="2736"/>
          </w:tcPr>
          <w:p>
            <w:r/>
            <w:r>
              <w:rPr>
                <w:sz w:val="18"/>
              </w:rPr>
              <w:t>0.819</w:t>
            </w:r>
          </w:p>
        </w:tc>
      </w:tr>
    </w:tbl>
    <w:p/>
    <w:p>
      <w:r>
        <w:rPr>
          <w:i w:val="0"/>
          <w:sz w:val="22"/>
        </w:rPr>
        <w:t>Judged against true non-events, the ordinary classifier falls only from 0.975 to 0.952 as its training absences are displaced from zero to three standard deviations. The model is largely unharmed; what the displacement corrupts is the figure the study reports about itself. This is the more accurate statement of the problem, and a more generous one: published susceptibility maps may well be serviceable products whose accompanying statistics do not describe them.</w:t>
      </w:r>
    </w:p>
    <w:p>
      <w:r>
        <w:rPr>
          <w:i w:val="0"/>
          <w:sz w:val="22"/>
        </w:rPr>
        <w:t>Two established treatments of presence-only data behave as theory predicts. The Elkan and Noto (2008) correction divides scores by the estimated labelling frequency, a constant, so the ranking and hence the AUC are unchanged to three decimal places at every displacement: it repairs calibration, not design dependence. A one-class model fitted to the presences alone never sees the absences and is therefore perfectly design-independent, returning 0.819 at every displacement, but it pays about 0.15 AUC for that robustness.</w:t>
      </w:r>
    </w:p>
    <w:p>
      <w:r>
        <w:rPr>
          <w:i w:val="0"/>
          <w:sz w:val="22"/>
        </w:rPr>
        <w:t>The practical implication is narrower than 'redraw your absences'. If absences must be constructed, the evaluation set is where it matters: holding out absences drawn like the presences costs nothing and makes the reported number interpretable. Where that is impossible, a presence-only method trades discriminative power for a figure that does not depend on the analyst's choices.</w:t>
      </w:r>
    </w:p>
    <w:p>
      <w:pPr>
        <w:pStyle w:val="Heading2"/>
      </w:pPr>
      <w:r>
        <w:rPr>
          <w:color w:val="0B3D5C"/>
        </w:rPr>
        <w:t>4.5 What each correction costs</w:t>
      </w:r>
    </w:p>
    <w:p>
      <w:r>
        <w:rPr>
          <w:i w:val="0"/>
          <w:sz w:val="22"/>
        </w:rPr>
        <w:t>Two configurations recur below and must not be confused. CONFIGURATION C2 applies the melt-out filter and centroid-derived release points to the single-scale predictor set, and reaches AUC 0.841. CONFIGURATION C3 adds the multi-scale terrain predictors of Section 4.7 to C2 and reaches 0.866. The correction ladder ends at C2, because its purpose is to isolate the cost of each correction with the predictor set held fixed; C3 is the best-performing honest configuration and is the one quoted wherever a single current figure is needed. Both are reported throughout rather than silently interchanged.</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5.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3" name="Picture 3"/>
            <wp:cNvGraphicFramePr>
              <a:graphicFrameLocks noChangeAspect="1"/>
            </wp:cNvGraphicFramePr>
            <a:graphic>
              <a:graphicData uri="http://schemas.openxmlformats.org/drawingml/2006/picture">
                <pic:pic>
                  <pic:nvPicPr>
                    <pic:cNvPr id="0" name="fig_correction_ladder.png"/>
                    <pic:cNvPicPr/>
                  </pic:nvPicPr>
                  <pic:blipFill>
                    <a:blip r:embed="rId11"/>
                    <a:stretch>
                      <a:fillRect/>
                    </a:stretch>
                  </pic:blipFill>
                  <pic:spPr>
                    <a:xfrm>
                      <a:off x="0" y="0"/>
                      <a:ext cx="5486400" cy="2938613"/>
                    </a:xfrm>
                    <a:prstGeom prst="rect"/>
                  </pic:spPr>
                </pic:pic>
              </a:graphicData>
            </a:graphic>
          </wp:inline>
        </w:drawing>
      </w:r>
    </w:p>
    <w:p>
      <w:pPr>
        <w:jc w:val="center"/>
      </w:pPr>
      <w:r>
        <w:rPr>
          <w:i/>
          <w:sz w:val="18"/>
        </w:rPr>
        <w:t>Figure 3. Cumulative effect of each correction. Label quality removes more apparent skill than sampling design and spatial validation combined.</w:t>
      </w:r>
    </w:p>
    <w:p>
      <w:pPr>
        <w:pStyle w:val="Heading2"/>
      </w:pPr>
      <w:r>
        <w:rPr>
          <w:color w:val="0B3D5C"/>
        </w:rPr>
        <w:t>4.6 Where reported performance comes from</w:t>
      </w:r>
    </w:p>
    <w:p>
      <w:r>
        <w:rPr>
          <w:i w:val="0"/>
          <w:sz w:val="22"/>
        </w:rPr>
        <w:t>The decomposition below and the ladder in Section 4.5 use DIFFERENT LABEL SETS, which accounts for figures that otherwise appear inconsistent. The decomposition isolates the effect of absence sampling and cross-validation alone, so it holds the labels at the recurrence ≥ 4 inventory throughout and reaches 0.939 under terrain-matched absences with spatial-block validation. The ladder continues past that point by also correcting the labels — applying the melt-out filter and centroid-derived release points — which is what takes configuration C2 to 0.841. The 0.098 between them is the cost of the label correction, reported as the final rung of the ladder, and is not a disagreement between the two tables.</w:t>
      </w:r>
    </w:p>
    <w:p>
      <w:r>
        <w:rPr>
          <w:b/>
          <w:sz w:val="19"/>
        </w:rPr>
        <w:t>Table 6.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4" name="Picture 4"/>
            <wp:cNvGraphicFramePr>
              <a:graphicFrameLocks noChangeAspect="1"/>
            </wp:cNvGraphicFramePr>
            <a:graphic>
              <a:graphicData uri="http://schemas.openxmlformats.org/drawingml/2006/picture">
                <pic:pic>
                  <pic:nvPicPr>
                    <pic:cNvPr id="0" name="fig_leakage_decomposition.png"/>
                    <pic:cNvPicPr/>
                  </pic:nvPicPr>
                  <pic:blipFill>
                    <a:blip r:embed="rId12"/>
                    <a:stretch>
                      <a:fillRect/>
                    </a:stretch>
                  </pic:blipFill>
                  <pic:spPr>
                    <a:xfrm>
                      <a:off x="0" y="0"/>
                      <a:ext cx="5486400" cy="3500387"/>
                    </a:xfrm>
                    <a:prstGeom prst="rect"/>
                  </pic:spPr>
                </pic:pic>
              </a:graphicData>
            </a:graphic>
          </wp:inline>
        </w:drawing>
      </w:r>
    </w:p>
    <w:p>
      <w:pPr>
        <w:jc w:val="center"/>
      </w:pPr>
      <w:r>
        <w:rPr>
          <w:i/>
          <w:sz w:val="18"/>
        </w:rPr>
        <w:t>Figure 4.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7.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5" name="Picture 5"/>
            <wp:cNvGraphicFramePr>
              <a:graphicFrameLocks noChangeAspect="1"/>
            </wp:cNvGraphicFramePr>
            <a:graphic>
              <a:graphicData uri="http://schemas.openxmlformats.org/drawingml/2006/picture">
                <pic:pic>
                  <pic:nvPicPr>
                    <pic:cNvPr id="0" name="fig_label_sensitivity.png"/>
                    <pic:cNvPicPr/>
                  </pic:nvPicPr>
                  <pic:blipFill>
                    <a:blip r:embed="rId13"/>
                    <a:stretch>
                      <a:fillRect/>
                    </a:stretch>
                  </pic:blipFill>
                  <pic:spPr>
                    <a:xfrm>
                      <a:off x="0" y="0"/>
                      <a:ext cx="5486400" cy="3592718"/>
                    </a:xfrm>
                    <a:prstGeom prst="rect"/>
                  </pic:spPr>
                </pic:pic>
              </a:graphicData>
            </a:graphic>
          </wp:inline>
        </w:drawing>
      </w:r>
    </w:p>
    <w:p>
      <w:pPr>
        <w:jc w:val="center"/>
      </w:pPr>
      <w:r>
        <w:rPr>
          <w:i/>
          <w:sz w:val="18"/>
        </w:rPr>
        <w:t>Figure 5. The sampling artefact is independent of inventory size and label confidence.</w:t>
      </w:r>
    </w:p>
    <w:p>
      <w:pPr>
        <w:pStyle w:val="Heading2"/>
      </w:pPr>
      <w:r>
        <w:rPr>
          <w:color w:val="0B3D5C"/>
        </w:rPr>
        <w:t>4.7 Coarse predictors encode geography, not snowpack</w:t>
      </w:r>
    </w:p>
    <w:p>
      <w:r>
        <w:rPr>
          <w:b/>
          <w:sz w:val="19"/>
        </w:rPr>
        <w:t>Table 8.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20</w:t>
            </w:r>
          </w:p>
        </w:tc>
        <w:tc>
          <w:tcPr>
            <w:tcW w:type="dxa" w:w="1296"/>
          </w:tcPr>
          <w:p>
            <w:r/>
            <w:r>
              <w:rPr>
                <w:sz w:val="18"/>
              </w:rPr>
              <w:t>0.934</w:t>
            </w:r>
          </w:p>
        </w:tc>
        <w:tc>
          <w:tcPr>
            <w:tcW w:type="dxa" w:w="2160"/>
          </w:tcPr>
          <w:p>
            <w:r/>
            <w:r>
              <w:rPr>
                <w:sz w:val="18"/>
              </w:rPr>
              <w:t>[0.929, 0.940]</w:t>
            </w:r>
          </w:p>
        </w:tc>
      </w:tr>
      <w:tr>
        <w:tc>
          <w:tcPr>
            <w:tcW w:type="dxa" w:w="3744"/>
          </w:tcPr>
          <w:p>
            <w:r/>
            <w:r>
              <w:rPr>
                <w:sz w:val="18"/>
              </w:rPr>
              <w:t>coarse REPLACED by x,y</w:t>
            </w:r>
          </w:p>
        </w:tc>
        <w:tc>
          <w:tcPr>
            <w:tcW w:type="dxa" w:w="720"/>
          </w:tcPr>
          <w:p>
            <w:r/>
            <w:r>
              <w:rPr>
                <w:sz w:val="18"/>
              </w:rPr>
              <w:t>18</w:t>
            </w:r>
          </w:p>
        </w:tc>
        <w:tc>
          <w:tcPr>
            <w:tcW w:type="dxa" w:w="1296"/>
          </w:tcPr>
          <w:p>
            <w:r/>
            <w:r>
              <w:rPr>
                <w:sz w:val="18"/>
              </w:rPr>
              <w:t>0.933</w:t>
            </w:r>
          </w:p>
        </w:tc>
        <w:tc>
          <w:tcPr>
            <w:tcW w:type="dxa" w:w="2160"/>
          </w:tcPr>
          <w:p>
            <w:r/>
            <w:r>
              <w:rPr>
                <w:sz w:val="18"/>
              </w:rPr>
              <w:t>[0.927, 0.939]</w:t>
            </w:r>
          </w:p>
        </w:tc>
      </w:tr>
      <w:tr>
        <w:tc>
          <w:tcPr>
            <w:tcW w:type="dxa" w:w="3744"/>
          </w:tcPr>
          <w:p>
            <w:r/>
            <w:r>
              <w:rPr>
                <w:sz w:val="18"/>
              </w:rPr>
              <w:t>coarse REMOVED</w:t>
            </w:r>
          </w:p>
        </w:tc>
        <w:tc>
          <w:tcPr>
            <w:tcW w:type="dxa" w:w="720"/>
          </w:tcPr>
          <w:p>
            <w:r/>
            <w:r>
              <w:rPr>
                <w:sz w:val="18"/>
              </w:rPr>
              <w:t>16</w:t>
            </w:r>
          </w:p>
        </w:tc>
        <w:tc>
          <w:tcPr>
            <w:tcW w:type="dxa" w:w="1296"/>
          </w:tcPr>
          <w:p>
            <w:r/>
            <w:r>
              <w:rPr>
                <w:sz w:val="18"/>
              </w:rPr>
              <w:t>0.902</w:t>
            </w:r>
          </w:p>
        </w:tc>
        <w:tc>
          <w:tcPr>
            <w:tcW w:type="dxa" w:w="2160"/>
          </w:tcPr>
          <w:p>
            <w:r/>
            <w:r>
              <w:rPr>
                <w:sz w:val="18"/>
              </w:rPr>
              <w:t>[0.894, 0.909]</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0.934 to 0.933,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6" name="Picture 6"/>
            <wp:cNvGraphicFramePr>
              <a:graphicFrameLocks noChangeAspect="1"/>
            </wp:cNvGraphicFramePr>
            <a:graphic>
              <a:graphicData uri="http://schemas.openxmlformats.org/drawingml/2006/picture">
                <pic:pic>
                  <pic:nvPicPr>
                    <pic:cNvPr id="0" name="fig_geography_ablation.png"/>
                    <pic:cNvPicPr/>
                  </pic:nvPicPr>
                  <pic:blipFill>
                    <a:blip r:embed="rId14"/>
                    <a:stretch>
                      <a:fillRect/>
                    </a:stretch>
                  </pic:blipFill>
                  <pic:spPr>
                    <a:xfrm>
                      <a:off x="0" y="0"/>
                      <a:ext cx="5852160" cy="2784168"/>
                    </a:xfrm>
                    <a:prstGeom prst="rect"/>
                  </pic:spPr>
                </pic:pic>
              </a:graphicData>
            </a:graphic>
          </wp:inline>
        </w:drawing>
      </w:r>
    </w:p>
    <w:p>
      <w:pPr>
        <w:jc w:val="center"/>
      </w:pPr>
      <w:r>
        <w:rPr>
          <w:i/>
          <w:sz w:val="18"/>
        </w:rPr>
        <w:t>Figure 6. Coarse predictors are interchangeable with coordinates.</w:t>
      </w:r>
    </w:p>
    <w:p>
      <w:pPr>
        <w:pStyle w:val="Heading2"/>
      </w:pPr>
      <w:r>
        <w:rPr>
          <w:color w:val="0B3D5C"/>
        </w:rPr>
        <w:t>4.8 Reported AUC depends on the background sampling ratio</w:t>
      </w:r>
    </w:p>
    <w:p>
      <w:r>
        <w:rPr>
          <w:b/>
          <w:sz w:val="19"/>
        </w:rPr>
        <w:t>Table 9.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4.9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10.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1"/>
      </w:pPr>
      <w:r>
        <w:rPr>
          <w:color w:val="0B3D5C"/>
        </w:rPr>
        <w:t>5. Discussion</w:t>
      </w:r>
    </w:p>
    <w:p>
      <w:pPr>
        <w:pStyle w:val="Heading2"/>
      </w:pPr>
      <w:r>
        <w:rPr>
          <w:color w:val="0B3D5C"/>
        </w:rPr>
        <w:t>5.1 What a reported AUC can and cannot tell a reader</w:t>
      </w:r>
    </w:p>
    <w:p>
      <w:r>
        <w:rPr>
          <w:i w:val="0"/>
          <w:sz w:val="22"/>
        </w:rPr>
        <w:t>Susceptibility data are presence-only: the locations of past events are observed, and the absences are constructed by the analyst. Section 4.1 shows that this construction, not the model, sets most of the reported score — a model with no skill at all reaches 0.910 at two standard deviations of absence displacement and 1.000 at six. Section 4.2 shows that the contribution cannot be removed after the fact. Three consequences follow, and none is specific to avalanches.</w:t>
      </w:r>
    </w:p>
    <w:p>
      <w:r>
        <w:rPr>
          <w:i w:val="0"/>
          <w:sz w:val="22"/>
        </w:rPr>
        <w:t>First, AUC is not comparable between studies that drew their absences differently. A study reporting 0.97 with absences taken from flat farmland has not demonstrated more skill than one reporting 0.85 with absences on comparable terrain. Model comparisons, predictor rankings and claims of improvement over prior work all inherit this, because all rest on a quantity the sampling design has already largely determined.</w:t>
      </w:r>
    </w:p>
    <w:p>
      <w:r>
        <w:rPr>
          <w:i w:val="0"/>
          <w:sz w:val="22"/>
        </w:rPr>
        <w:t>Second, above roughly three standard deviations of separation the measure saturates and stops discriminating: in the simulation a model with genuine skill and a model with none both report values above 0.97. Much of the published literature appears to operate in that regime.</w:t>
      </w:r>
    </w:p>
    <w:p>
      <w:r>
        <w:rPr>
          <w:i w:val="0"/>
          <w:sz w:val="22"/>
        </w:rPr>
        <w:t>Third — and this is the limit that bites — the part of a reported AUC attributable to the model cannot be recovered by arithmetic. A difference between the presence and absence samples enters the statistic identically whether it arises from genuine terrain differences or from where the absences were drawn, and the samples are all the evidence there is. Any correction, including the one we attempted, requires assumptions that the data cannot supply.</w:t>
      </w:r>
    </w:p>
    <w:p>
      <w:pPr>
        <w:pStyle w:val="Heading2"/>
      </w:pPr>
      <w:r>
        <w:rPr>
          <w:color w:val="0B3D5C"/>
        </w:rPr>
        <w:t>5.2 A design-sensitivity diagnostic rather than an AUC correction</w:t>
      </w:r>
    </w:p>
    <w:p>
      <w:r>
        <w:rPr>
          <w:i w:val="0"/>
          <w:sz w:val="22"/>
        </w:rPr>
        <w:t>What a study can do instead is measure how much its own reported figure depends on a choice it made. Holding the presences, the predictors, the model and the evaluation protocol fixed, and varying only how absences are drawn, isolates the contribution of the sampling design. The result is not a corrected accuracy and should not be reported as one: it is a sensitivity, analogous to reporting how a result moves under a plausible alternative specification.</w:t>
      </w:r>
    </w:p>
    <w:p>
      <w:r>
        <w:rPr>
          <w:i w:val="0"/>
          <w:sz w:val="22"/>
        </w:rPr>
        <w:t>Three kinds of evaluation must be kept apart, because they answer different questions and this literature often treats them as one. VERIFIED NON-OCCURRENCE evaluation scores a model against locations independently established to have had no event; it is the only one that measures what a susceptibility map is read as claiming, and it is almost never available. MATCHED BACKGROUND evaluation scores against locations drawn to resemble the presences in terrain; it removes the separability that Section 4.1 describes, but it does NOT establish that those locations are avalanche-free, and a matched background point may simply be a site where nothing has yet been recorded. PRESENCE-ONLY evaluation avoids constructed negatives entirely at a cost in discriminative power, as Section 4.4 shows. Matched background evaluation is an improvement on mismatched background evaluation; it is not ground truth, and describing it as such would reproduce in a different form the conflation this paper is about.</w:t>
      </w:r>
    </w:p>
    <w:p>
      <w:r>
        <w:rPr>
          <w:i w:val="0"/>
          <w:sz w:val="22"/>
        </w:rPr>
        <w:t>Concretely, we suggest four things. Report the absence rule explicitly, in enough detail that it could be reimplemented. Run the same pipeline under at least two defensible absence designs and report the range of AUC obtained. State which of the three evaluations above a reported figure represents. And treat a large spread across designs as what it is — evidence that the headline number describes the experiment rather than the model.</w:t>
      </w:r>
    </w:p>
    <w:p>
      <w:r>
        <w:rPr>
          <w:i w:val="0"/>
          <w:sz w:val="22"/>
        </w:rPr>
        <w:t>On the data used here that spread is 0.031 across four absence designs, from 0.923 with absences matched on slope to 0.954 with absences drawn at random from the candidate pool, which is the common default. That range is wider than the differences typically reported between competing models in this literature. The comparison requires no new statistic and no simulation; it is one extra run of a pipeline a study has already built, and designcheck.py in the repository performs it on any presence-only dataset.</w:t>
      </w:r>
    </w:p>
    <w:p>
      <w:pPr>
        <w:pStyle w:val="Heading2"/>
      </w:pPr>
      <w:r>
        <w:rPr>
          <w:color w:val="0B3D5C"/>
        </w:rPr>
        <w:t>5.3 Applying the same standard to our own analysis</w:t>
      </w:r>
    </w:p>
    <w:p>
      <w:r>
        <w:rPr>
          <w:i w:val="0"/>
          <w:sz w:val="22"/>
        </w:rPr>
        <w:t>Two artefacts of our own are reported because the argument demands it. SHAP attributed the largest single contribution to the topographic position index; inspection showed presence points averaged TPI +36.4 against +2.9 for background, which follows mechanically from an earlier release-point rule that selected the highest qualifying pixel in a search radius. Deriving release points as the centroid of release-angle terrain instead reduced that gap to +3.8 and made the predictor ordinary again.</w:t>
      </w:r>
    </w:p>
    <w:p>
      <w:r>
        <w:rPr>
          <w:i w:val="0"/>
          <w:sz w:val="22"/>
        </w:rPr>
        <w:t>The second concerns the optical verification used to establish label quality for the corrected configuration. An unaided first pass over 100 detections accepted 24 as avalanches; re-scoring against an explicit rule — snow present beforehand, a localized rough feature appearing, surroundings unchanged — rejected 21 of those, most because the slope was bare rock before the event and acquired snow afterwards. Both scorings are reported in the companion paper, and the disagreement between them (Cohen's kappa 0.49) is treated there as a result rather than an embarrassment. Neither artefact changes the findings above, which compare sampling designs using identical labels, but a paper arguing that this field does not audit its own procedures cannot exempt itself.</w:t>
      </w:r>
    </w:p>
    <w:p>
      <w:pPr>
        <w:pStyle w:val="Heading2"/>
      </w:pPr>
      <w:r>
        <w:rPr>
          <w:color w:val="0B3D5C"/>
        </w:rPr>
        <w:t>5.4 Limitations</w:t>
      </w:r>
    </w:p>
    <w:p>
      <w:pPr>
        <w:pStyle w:val="ListBullet"/>
      </w:pPr>
      <w:r>
        <w:t>The simulation establishes that absence displacement inflates AUC and characterises how the inflation behaves. It is not a calibration: Section 4.2 withdraws the proposal to read a baseline off it and subtract that from a real study's figure, and the simulated values should not be used that way. The construction also simplifies real predictor structure — spatial clustering, covariance and non-Gaussian marginals are all idealised — though the invariance checks in the supplementary material show the qualitative behaviour survives each of these.</w:t>
      </w:r>
    </w:p>
    <w:p>
      <w:pPr>
        <w:pStyle w:val="ListBullet"/>
      </w:pPr>
      <w:r>
        <w:t>The separability measure aggregates standardised differences across predictors and therefore depends on which predictors a study uses. Two studies with identical absence rules but different predictor sets will report different δ.</w:t>
      </w:r>
    </w:p>
    <w:p>
      <w:pPr>
        <w:pStyle w:val="ListBullet"/>
      </w:pPr>
      <w:r>
        <w:t>The empirical test uses one study area and one hazard. The mechanism is not specific to either, but demonstrating that requires replication on independent inventories, ideally for landslides, where open data are more plentiful. We regard this as the most valuable next step.</w:t>
      </w:r>
    </w:p>
    <w:p>
      <w:pPr>
        <w:pStyle w:val="ListBullet"/>
      </w:pPr>
      <w:r>
        <w:t>The avalanche inventory underlying the empirical sections is derived from Sentinel-1 change detection and consists of candidate rather than confirmed events; its precision is quantified in the companion paper. Because every configuration compared here uses identical labels, label quality affects all arms equally and cannot produce the differences reported, as the sensitivity analysis in Section 4.3 confirms.</w:t>
      </w:r>
    </w:p>
    <w:p>
      <w:pPr>
        <w:pStyle w:val="Heading1"/>
      </w:pPr>
      <w:r>
        <w:rPr>
          <w:color w:val="0B3D5C"/>
        </w:rPr>
        <w:t>6. Conclusions</w:t>
      </w:r>
    </w:p>
    <w:p>
      <w:pPr>
        <w:pStyle w:val="ListBullet"/>
      </w:pPr>
      <w:r>
        <w:t>Susceptibility data are presence-only, so absences are an analyst's choice. In synthetic data where that choice carries no information about the outcome, a model with no predictive skill reports AUC 0.739 at one standard deviation of absence displacement, 0.910 at two and 1.000 at six. Reported AUC is therefore a function of the sampling design.</w:t>
      </w:r>
    </w:p>
    <w:p>
      <w:pPr>
        <w:pStyle w:val="ListBullet"/>
      </w:pPr>
      <w:r>
        <w:t>Above roughly three standard deviations the measure saturates: a model with genuine skill and one with none both report values above 0.97, so AUC no longer distinguishes them.</w:t>
      </w:r>
    </w:p>
    <w:p>
      <w:pPr>
        <w:pStyle w:val="ListBullet"/>
      </w:pPr>
      <w:r>
        <w:t>A published avalanche susceptibility protocol places its absences 7.06 standard deviations from its presences on the diagonal measure, in a regime where the SIMULATION returns 1.000 for a model with no skill. Run on an independent inventory, the protocol OBSERVES 1.000. The agreement is informative but the two figures are different kinds of quantity, and the simulated one is not an estimate of the real model's skill.</w:t>
      </w:r>
    </w:p>
    <w:p>
      <w:pPr>
        <w:pStyle w:val="ListBullet"/>
      </w:pPr>
      <w:r>
        <w:t>The absolute skill of a presence-only susceptibility model is not identifiable from the data it was fitted to. Two worlds with nearly indistinguishable observed samples differ by 0.281 in their ability to rank genuinely susceptible terrain, and no statistic computed from those samples can tell them apart. Proposals to correct a reported AUC, including our own, fail for this reason rather than for want of a better estimator.</w:t>
      </w:r>
    </w:p>
    <w:p>
      <w:pPr>
        <w:pStyle w:val="ListBullet"/>
      </w:pPr>
      <w:r>
        <w:t>What is identifiable is the relative effect of the absence design, obtained by holding presences, predictors and model fixed and varying only how absences are drawn. Any study can run that comparison on its own pipeline.</w:t>
      </w:r>
    </w:p>
    <w:p>
      <w:pPr>
        <w:pStyle w:val="ListBullet"/>
      </w:pPr>
      <w:r>
        <w:t>Training on poorly drawn absences harms the model far less than it harms the number: scored against true non-events, performance falls only from 0.975 to 0.952 as displacement rises from zero to three standard deviations.</w:t>
      </w:r>
    </w:p>
    <w:p>
      <w:pPr>
        <w:pStyle w:val="ListBullet"/>
      </w:pPr>
      <w:r>
        <w:t>Two independent diagnostics agree: 1 km climate and 500 m snow-cover predictors are statistically interchangeable with raw spatial coordinates, and reported AUC rises with the background sampling ratio while precision-recall performance falls.</w:t>
      </w:r>
    </w:p>
    <w:p>
      <w:pPr>
        <w:pStyle w:val="ListBullet"/>
      </w:pPr>
      <w:r>
        <w:t>We recommend that susceptibility studies report the absence rule explicitly, run the pipeline under at least two defensible absence designs and report the range, and state whether a quoted figure comes from verified non-occurrence data, from matched background, or from a presence-only method. Matched background evaluation removes the separability described here but does not establish that those locations are event-free, and should not be presented as ground truth.</w:t>
      </w:r>
    </w:p>
    <w:p>
      <w:pPr>
        <w:pStyle w:val="Heading1"/>
      </w:pPr>
      <w:r>
        <w:rPr>
          <w:color w:val="0B3D5C"/>
        </w:rPr>
        <w:t>Data and code availability</w:t>
      </w:r>
    </w:p>
    <w:p>
      <w:r>
        <w:rPr>
          <w:i w:val="0"/>
          <w:sz w:val="22"/>
        </w:rPr>
        <w:t>The design comparison this paper recommends is packaged as designcheck.py in the repository, which runs independently of the rest of the code. Given a table of predictor values at event locations and a pool of candidate absence locations, it scores one model against several absence designs and reports the spread, so any presence-only susceptibility study can measure how much of its reported figure the sampling accounts for. Supplementary Section S5 gives a worked example on the data used here.</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 https://doi.org/10.1038/s41598-025-22051-w</w:t>
      </w:r>
    </w:p>
    <w:p>
      <w:pPr>
        <w:pStyle w:val="ListParagraph"/>
      </w:pPr>
      <w:r>
        <w:t>[2]  Barbet-Massin, M., Jiguet, F., Albert, C. H. &amp; Thuiller, W. (2012). Selecting pseudo-absences for species distribution models: how, where and how many? Methods in Ecology and Evolution, 3, 327-338. https://doi.org/10.1111/j.2041-210X.2011.00172.x</w:t>
      </w:r>
    </w:p>
    <w:p>
      <w:pPr>
        <w:pStyle w:val="ListParagraph"/>
      </w:pPr>
      <w:r>
        <w:t>[3]  Bekker, J. &amp; Davis, J. (2020). Learning from positive and unlabeled data: a survey. Machine Learning, 109, 719-760. https://doi.org/10.1007/s10994-020-05877-5</w:t>
      </w:r>
    </w:p>
    <w:p>
      <w:pPr>
        <w:pStyle w:val="ListParagraph"/>
      </w:pPr>
      <w:r>
        <w:t>[4]  Brenning, A. (2012). Spatial cross-validation and bootstrap for the assessment of prediction rules in remote sensing. IEEE International Geoscience and Remote Sensing Symposium, 5372-5375. https://doi.org/10.1109/IGARSS.2012.6352393</w:t>
      </w:r>
    </w:p>
    <w:p>
      <w:pPr>
        <w:pStyle w:val="ListParagraph"/>
      </w:pPr>
      <w:r>
        <w:t>[5]  Bühler, Y., von Rickenbach, D., Stoffel, A., Margreth, S., Stoffel, L. &amp; Christen, M. (2018). Automated snow avalanche release area delineation. Natural Hazards and Earth System Sciences, 18, 3235-3251. https://doi.org/10.5194/nhess-18-3235-2018</w:t>
      </w:r>
    </w:p>
    <w:p>
      <w:pPr>
        <w:pStyle w:val="ListParagraph"/>
      </w:pPr>
      <w:r>
        <w:t>[6]  Cetinkaya, S. &amp; Kocaman, S. (2023). Impact of learning set and sampling for snow avalanche susceptibility mapping with random forest. ISPRS Archives, XLVIII-M-1, 57-64. https://doi.org/10.5194/isprs-archives-XLVIII-M-1-2023-57-2023</w:t>
      </w:r>
    </w:p>
    <w:p>
      <w:pPr>
        <w:pStyle w:val="ListParagraph"/>
      </w:pPr>
      <w:r>
        <w:t>[7]  Chawla, N. V., Bowyer, K. W., Hall, L. O. &amp; Kegelmeyer, W. P. (2002). SMOTE: synthetic minority over-sampling technique. Journal of Artificial Intelligence Research, 16, 321-357. https://doi.org/10.1613/jair.953</w:t>
      </w:r>
    </w:p>
    <w:p>
      <w:pPr>
        <w:pStyle w:val="ListParagraph"/>
      </w:pPr>
      <w:r>
        <w:t>[8]  Eckerstorfer, M., Vickers, H., Malnes, E. &amp; Grahn, J. (2019). Near-real time automatic snow avalanche activity monitoring system using Sentinel-1 SAR data in Norway. Remote Sensing, 11, 2863. https://doi.org/10.3390/rs11232863</w:t>
      </w:r>
    </w:p>
    <w:p>
      <w:pPr>
        <w:pStyle w:val="ListParagraph"/>
      </w:pPr>
      <w:r>
        <w:t>[9]  Elkan, C. &amp; Noto, K. (2008). Learning classifiers from only positive and unlabeled data. Proceedings of the 14th ACM SIGKDD International Conference on Knowledge Discovery and Data Mining, 213-220. https://doi.org/10.1145/1401890.1401920</w:t>
      </w:r>
    </w:p>
    <w:p>
      <w:pPr>
        <w:pStyle w:val="ListParagraph"/>
      </w:pPr>
      <w:r>
        <w:t>[10]  Elith, J. et al. (2006). Novel methods improve prediction of species' distributions from occurrence data. Ecography, 29, 129-151. https://doi.org/10.1111/j.2006.0906-7590.04596.x</w:t>
      </w:r>
    </w:p>
    <w:p>
      <w:pPr>
        <w:pStyle w:val="ListParagraph"/>
      </w:pPr>
      <w:r>
        <w:t>[11]  Hanley, J. A. &amp; McNeil, B. J. (1982). The meaning and use of the area under a receiver operating characteristic (ROC) curve. Radiology, 143, 29-36. https://doi.org/10.1148/radiology.143.1.7063747</w:t>
      </w:r>
    </w:p>
    <w:p>
      <w:pPr>
        <w:pStyle w:val="ListParagraph"/>
      </w:pPr>
      <w:r>
        <w:t>[12]  Hastie, T. &amp; Fithian, W. (2013). Inference from presence-only data: the ongoing controversy. Ecography, 36, 864-867. https://doi.org/10.1111/j.1600-0587.2013.00321.x</w:t>
      </w:r>
    </w:p>
    <w:p>
      <w:pPr>
        <w:pStyle w:val="ListParagraph"/>
      </w:pPr>
      <w:r>
        <w:t>[13]  Lobo, J. M., Jiménez-Valverde, A. &amp; Real, R. (2008). AUC: a misleading measure of the performance of predictive distribution models. Global Ecology and Biogeography, 17, 145-151. https://doi.org/10.1111/j.1466-8238.2007.00358.x</w:t>
      </w:r>
    </w:p>
    <w:p>
      <w:pPr>
        <w:pStyle w:val="ListParagraph"/>
      </w:pPr>
      <w:r>
        <w:t>[14]  Meyer, H., Reudenbach, C., Wöllauer, S. &amp; Nauss, T. (2019). Importance of spatial predictor variable selection in machine learning applications. Ecological Modelling, 411, 108815. https://doi.org/10.1016/j.ecolmodel.2019.108815</w:t>
      </w:r>
    </w:p>
    <w:p>
      <w:pPr>
        <w:pStyle w:val="ListParagraph"/>
      </w:pPr>
      <w:r>
        <w:t>[15]  Phillips, S. J., Anderson, R. P. &amp; Schapire, R. E. (2006). Maximum entropy modeling of species geographic distributions. Ecological Modelling, 190, 231-259. https://doi.org/10.1016/j.ecolmodel.2005.03.026</w:t>
      </w:r>
    </w:p>
    <w:p>
      <w:pPr>
        <w:pStyle w:val="ListParagraph"/>
      </w:pPr>
      <w:r>
        <w:t>[16]  Phillips, S. J., Dudík, M., Elith, J., Graham, C. H., Lehmann, A., Leathwick, J. &amp; Ferrier, S. (2009). Sample selection bias and presence-only distribution models. Ecological Applications, 19, 181-197. https://doi.org/10.1890/07-2153.1</w:t>
      </w:r>
    </w:p>
    <w:p>
      <w:pPr>
        <w:pStyle w:val="ListParagraph"/>
      </w:pPr>
      <w:r>
        <w:t>[17]  Ploton, P. et al. (2020). Spatial validation reveals poor predictive performance of large-scale ecological mapping models. Nature Communications, 11, 4540. https://doi.org/10.1038/s41467-020-18321-y</w:t>
      </w:r>
    </w:p>
    <w:p>
      <w:pPr>
        <w:pStyle w:val="ListParagraph"/>
      </w:pPr>
      <w:r>
        <w:t>[18]  Roberts, D. R. et al. (2017). Cross-validation strategies for data with temporal, spatial, hierarchical, or phylogenetic structure. Ecography, 40, 913-929. https://doi.org/10.1111/ecog.02881</w:t>
      </w:r>
    </w:p>
    <w:p>
      <w:pPr>
        <w:pStyle w:val="ListParagraph"/>
      </w:pPr>
      <w:r>
        <w:t>[19]  Saito, T. &amp; Rehmsmeier, M. (2015). The precision-recall plot is more informative than the ROC plot when evaluating binary classifiers on imbalanced datasets. PLOS ONE, 10, e0118432. https://doi.org/10.1371/journal.pone.0118432</w:t>
      </w:r>
    </w:p>
    <w:p>
      <w:pPr>
        <w:pStyle w:val="ListParagraph"/>
      </w:pPr>
      <w:r>
        <w:t>[20]  Sahin, E. K., Ipbuker, C. &amp; Kavzoglu, T. (2023). Strategies for sampling pseudo-absences of landslide locations for landslide susceptibility mapping in complex mountainous terrain of Northwest Himalaya. Bulletin of Engineering Geology and the Environment, 82, 397. https://doi.org/10.1007/s10064-023-03333-x</w:t>
      </w:r>
    </w:p>
    <w:p>
      <w:pPr>
        <w:pStyle w:val="ListParagraph"/>
      </w:pPr>
      <w:r>
        <w:t>[21]  Valavi, R., Elith, J., Lahoz-Monfort, J. J. &amp; Guillera-Arroita, G. (2019). blockCV: an R package for generating spatially or environmentally separated folds. Methods in Ecology and Evolution, 10, 225-232. https://doi.org/10.1111/2041-210X.13107</w:t>
      </w:r>
    </w:p>
    <w:p>
      <w:pPr>
        <w:pStyle w:val="ListParagraph"/>
      </w:pPr>
      <w:r>
        <w:t>[22]  Ward, G., Hastie, T., Barry, S., Elith, J. &amp; Leathwick, J. R. (2009). Presence-only data and the EM algorithm. Biometrics, 65, 554-563. https://doi.org/10.1111/j.1541-0420.2008.01116.x</w:t>
      </w:r>
    </w:p>
    <w:p>
      <w:pPr>
        <w:pStyle w:val="ListParagraph"/>
      </w:pPr>
      <w:r>
        <w:t>[23]  Winstral, A., Elder, K. &amp; Davis, R. E. (2002). Spatial snow modeling of wind-redistributed snow using terrain-based parameters. Journal of Hydrometeorology, 3, 524-538. https://doi.org/10.1175/1525-7541(2002)003&lt;0524:SSMOWR&gt;2.0.CO;2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