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4"/>
        </w:rPr>
        <w:t>Reported accuracy in avalanche susceptibility mapping reflects sampling design, not predictive skill</w:t>
      </w:r>
    </w:p>
    <w:p>
      <w:pPr>
        <w:jc w:val="center"/>
      </w:pPr>
      <w:r>
        <w:rPr>
          <w:sz w:val="25"/>
        </w:rPr>
        <w:t>A controlled reproduction with an independently verified Sentinel-1 inventory, Western Himalaya</w:t>
      </w:r>
    </w:p>
    <w:p>
      <w:pPr>
        <w:jc w:val="center"/>
      </w:pPr>
      <w:r>
        <w:rPr>
          <w:i/>
          <w:sz w:val="20"/>
        </w:rPr>
        <w:t>Chandra-Bhaga and Upper Beas basins, Himachal Pradesh and Jammu &amp; Kashmir, India</w:t>
      </w:r>
    </w:p>
    <w:p/>
    <w:p>
      <w:pPr>
        <w:pStyle w:val="Heading1"/>
      </w:pPr>
      <w:r>
        <w:rPr>
          <w:color w:val="0B3D5C"/>
        </w:rPr>
        <w:t>Abstract</w:t>
      </w:r>
    </w:p>
    <w:p>
      <w:r>
        <w:rPr>
          <w:i w:val="0"/>
          <w:sz w:val="22"/>
        </w:rPr>
        <w:t>Machine-learning avalanche susceptibility maps in the Indian Himalayan Region routinely report areas under the ROC curve above 0.90, yet the sampling designs that produce those numbers have not been tested. We construct an independent avalanche inventory for the Chandra-Bhaga and Upper Beas basins from eight winters of Sentinel-1 backscatter change detection (6,364 release points, 85% basin coverage) and use it to run a controlled decomposition of where reported performance comes from. Drawing non-avalanche points from flat, vegetated, urban and cropland areas — the rule used across this literature — yields AUC = 1.000: the classification task becomes perfectly separable, and the model distinguishes steep snow-covered mountain from flat green valley rather than avalanche terrain from non-avalanche terrain. Replacing those absences with terrain-matched background points reduces AUC to 0.954, while spatial-block cross-validation applied to the original sampling changes performance by -0.000. The optimism therefore originates almost entirely in sampling design, not in spatial autocorrelation, which is the aspect the field has standardised on correcting. Two further diagnostics show that 1 km climate and 500 m snow-cover predictors are statistically interchangeable with raw spatial coordinates, and that reported AUC can be raised simply by increasing the background sampling ratio while precision-recall performance falls. A terrain-matched, spatially validated model attains AUC 0.939 and transfers between sub-basins at 0.888. Separately, blind optical verification — which this literature does not report for any inventory — puts the detections' precision at 3.4% under an explicit scoring rule, against 26.7% from an unaided first pass of the same images (Cohen's kappa 0.49 between the two), so the verification is itself considerably less reliable than its absence from the literature implies. Requiring snow cover to persist after each event removes 72% of the verified false positives without losing any verified avalanche, raising precision to 11.1%. We provide a corrected susceptibility map, as an illustration of the method rather than an operational product, and openly document two artefacts detected in our own pipeline. The sampling rule we test is a convention inherited across this literature rather than the choice of any one study, and the corrections we propose apply equally to our own results.</w:t>
      </w:r>
    </w:p>
    <w:p>
      <w:r>
        <w:rPr>
          <w:i/>
          <w:sz w:val="19"/>
        </w:rPr>
        <w:t>Keywords: snow avalanches, susceptibility mapping, sampling bias, spatial cross-validation, Sentinel-1, explainable machine learning, Western Himalaya</w:t>
      </w:r>
    </w:p>
    <w:p>
      <w:pPr>
        <w:pStyle w:val="Heading1"/>
      </w:pPr>
      <w:r>
        <w:rPr>
          <w:color w:val="0B3D5C"/>
        </w:rPr>
        <w:t>1. Introduction</w:t>
      </w:r>
    </w:p>
    <w:p>
      <w:r>
        <w:rPr>
          <w:i w:val="0"/>
          <w:sz w:val="22"/>
        </w:rPr>
        <w:t>Snow avalanches threaten settlements, highways and glacial lakes across the Indian Himalayan Region (IHR). Because field survey is impractical over this terrain, avalanche susceptibility maps (ASM) are produced by training classifiers on past avalanche locations and a set of topographic, climatic and snowpack predictors. Reported performance is consistently high, with recent IHR studies citing AUC values of 0.87–0.95.</w:t>
      </w:r>
    </w:p>
    <w:p>
      <w:r>
        <w:rPr>
          <w:i w:val="0"/>
          <w:sz w:val="22"/>
        </w:rPr>
        <w:t>Such values are only meaningful if the negative class represents terrain where avalanches could occur but did not. In practice, published studies draw non-avalanche points from flat vegetated areas, urban settlements, water bodies and croplands. These locations differ from avalanche release zones in nearly every predictor simultaneously, so a classifier can achieve excellent scores by recognising land cover rather than avalanche conditions. The field has meanwhile concentrated its methodological attention on spatial cross-validation, which addresses a different problem — spatial autocorrelation between training and test folds.</w:t>
      </w:r>
    </w:p>
    <w:p>
      <w:r>
        <w:rPr>
          <w:i w:val="0"/>
          <w:sz w:val="22"/>
        </w:rPr>
        <w:t>This study asks which of these two design choices actually drives reported performance, and whether the resulting models encode avalanche physics or study-design artefacts. We address it with a controlled 2×2 experiment on an independently constructed inventory, followed by explainability and ablation diagnostics. We apply the same scrutiny to our own pipeline and report two artefacts we found there.</w:t>
      </w:r>
    </w:p>
    <w:p>
      <w:pPr>
        <w:pStyle w:val="Heading2"/>
      </w:pPr>
      <w:r>
        <w:rPr>
          <w:color w:val="0B3D5C"/>
        </w:rPr>
        <w:t>1.1 Scope and intent</w:t>
      </w:r>
    </w:p>
    <w:p>
      <w:r>
        <w:rPr>
          <w:i w:val="0"/>
          <w:sz w:val="22"/>
        </w:rPr>
        <w:t>What is under test here is a PROTOCOL, not a paper. The absence rule examined below recurs throughout avalanche susceptibility work in the region: the study we reproduce cites earlier applications reporting AUC values of 0.88 and 0.87 built the same way. Our results therefore speak to a convention the field has inherited, and they apply to our own models exactly as they apply to published ones — Section 4.1 reports what happens when we run the conventional protocol on our own data, and the answer is a perfect score.</w:t>
      </w:r>
    </w:p>
    <w:p>
      <w:r>
        <w:rPr>
          <w:i w:val="0"/>
          <w:sz w:val="22"/>
        </w:rPr>
        <w:t>We take Abhinav and Sattar (2025) as the reference implementation because it is recent, it covers these basins, and it documents its predictors, models and sampling clearly enough to be rebuilt independently. That is not true of every study in this area, and reproducing a result is only possible when the original is reported carefully. Where our figures differ from theirs, the difference reflects the experimental design we impose rather than an error on their part: a model trained against flat, vegetated absences is answering a different and easier question than one trained against terrain-matched background, and neither number is wrong for the question it answers.</w:t>
      </w:r>
    </w:p>
    <w:p>
      <w:pPr>
        <w:pStyle w:val="Heading1"/>
      </w:pPr>
      <w:r>
        <w:rPr>
          <w:color w:val="0B3D5C"/>
        </w:rPr>
        <w:t>2. Study area</w:t>
      </w:r>
    </w:p>
    <w:p>
      <w:r>
        <w:rPr>
          <w:i w:val="0"/>
          <w:sz w:val="22"/>
        </w:rPr>
        <w:t>The Chandra-Bhaga and Upper Beas basins span approximately 23,000 km² in Himachal Pradesh and the Jammu &amp; Kashmir union territory, with elevations from 1,123 m to 6,329 m. The region receives heavy winter snowfall from westerly disturbances and has a documented history of avalanche impacts on the Leh–Manali highway and on settlements including Manali, Keylong and Udaipur. Potential release terrain (slope 28–60°) covers 11,699 km², about half the study area.</w:t>
      </w:r>
    </w:p>
    <w:p>
      <w:pPr>
        <w:pStyle w:val="Heading1"/>
      </w:pPr>
      <w:r>
        <w:rPr>
          <w:color w:val="0B3D5C"/>
        </w:rPr>
        <w:t>3. Data and methods</w:t>
      </w:r>
    </w:p>
    <w:p>
      <w:pPr>
        <w:pStyle w:val="Heading2"/>
      </w:pPr>
      <w:r>
        <w:rPr>
          <w:color w:val="0B3D5C"/>
        </w:rPr>
        <w:t>3.1 Avalanche inventory from Sentinel-1</w:t>
      </w:r>
    </w:p>
    <w:p>
      <w:r>
        <w:rPr>
          <w:i w:val="0"/>
          <w:sz w:val="22"/>
        </w:rPr>
        <w:t>Avalanche debris roughens the snow surface and raises radar backscatter. We detect it as a seasonal increase in Sentinel-1 GRD backscatter between a stable mid-winter reference composite and a post-avalanche-season composite, computed independently for each winter from 2018 to 2025.</w:t>
      </w:r>
    </w:p>
    <w:p>
      <w:pPr>
        <w:pStyle w:val="ListBullet"/>
      </w:pPr>
      <w:r>
        <w:t>A single relative orbit is used (descending, orbit 136) so that viewing geometry is identical between dates and static terrain backscatter cancels in the difference. Orbit 136 is the only orbit providing 100% coverage of the study area; the orbit with the most acquisitions covers just 13% of it.</w:t>
      </w:r>
    </w:p>
    <w:p>
      <w:pPr>
        <w:pStyle w:val="ListBullet"/>
      </w:pPr>
      <w:r>
        <w:t>Composites are averaged in linear power and speckle-filtered; only increases are retained, since wet snow lowers backscatter and therefore has the opposite sign.</w:t>
      </w:r>
    </w:p>
    <w:p>
      <w:pPr>
        <w:pStyle w:val="ListBullet"/>
      </w:pPr>
      <w:r>
        <w:t>Detections are restricted to avalanche-capable slopes (25–60°) and filtered by minimum connected area.</w:t>
      </w:r>
    </w:p>
    <w:p>
      <w:pPr>
        <w:pStyle w:val="ListBullet"/>
      </w:pPr>
      <w:r>
        <w:t>Detections are stacked across winters to give a RECURRENCE count. Random change does not repeat on the same slope across eight winters, whereas avalanche paths do; recurrence therefore acts as a confidence score.</w:t>
      </w:r>
    </w:p>
    <w:p>
      <w:r>
        <w:rPr>
          <w:i w:val="0"/>
          <w:sz w:val="22"/>
        </w:rPr>
        <w:t>Deposits are traced upslope to the highest pixel on release-angle terrain (30–50°) within a 600 m search radius, because susceptibility models predict release, not runout. This yields 6,364 candidate release points, of which 3,188 are flagged in four or more winters — the threshold used for the analyses below. Section 4.7 reports what fraction of these are real. Occupied 10 km blocks cover 85% of the study area, so the inventory is not confined to road-accessible slopes.</w:t>
      </w:r>
    </w:p>
    <w:p>
      <w:pPr>
        <w:pStyle w:val="Heading2"/>
      </w:pPr>
      <w:r>
        <w:rPr>
          <w:color w:val="0B3D5C"/>
        </w:rPr>
        <w:t>3.2 Predictive factors</w:t>
      </w:r>
    </w:p>
    <w:p>
      <w:r>
        <w:rPr>
          <w:i w:val="0"/>
          <w:sz w:val="22"/>
        </w:rPr>
        <w:t>Twenty predictors were assembled on a common 30 m UTM 43N grid: twelve topographic and two hydrological derivatives computed from NASADEM with WhiteboxTools; winter temperature and precipitation (WorldClim); snow-cover duration (MODIS); land cover (ESA WorldCover); and distances to roads, streams (OpenStreetMap) and active faults (GEM Global Active Faults). Distance to faults is computed from vector geometry, because every active fault lies outside the study area and a rasterised distance transform is therefore undefined within it.</w:t>
      </w:r>
    </w:p>
    <w:p>
      <w:pPr>
        <w:pStyle w:val="Heading2"/>
      </w:pPr>
      <w:r>
        <w:rPr>
          <w:color w:val="0B3D5C"/>
        </w:rPr>
        <w:t>3.3 Sampling design</w:t>
      </w:r>
    </w:p>
    <w:p>
      <w:r>
        <w:rPr>
          <w:i w:val="0"/>
          <w:sz w:val="22"/>
        </w:rPr>
        <w:t>Two absence schemes are compared. The PAPER-STYLE scheme reproduces published practice: points drawn at random from low-slope terrain classified as tree cover, grassland, cropland, built-up or water. The TERRAIN-MATCHED scheme draws background points from avalanche-capable slopes (25–55°) outside a 1 km buffer around presences, matched to the joint elevation × slope × aspect distribution of the presences.</w:t>
      </w:r>
    </w:p>
    <w:p>
      <w:r>
        <w:rPr>
          <w:i w:val="0"/>
          <w:sz w:val="22"/>
        </w:rPr>
        <w:t>Aspect matching is required, not optional. Sentinel-1 is right-looking, so a single orbit over-detects on slopes facing the sensor: measured over this study area, descending orbit 136 places 34.8% of detections on south-east aspects against 12.6% of background terrain, while ascending orbit 27 peaks on north-west aspects. These are mirror images and therefore reflect viewing geometry rather than avalanche physics. Only the elevated south-facing fraction is consistent across both geometries. Matching background to the presence aspect distribution prevents the classifier from scoring on this artefact.</w:t>
      </w:r>
    </w:p>
    <w:p>
      <w:pPr>
        <w:pStyle w:val="Heading2"/>
      </w:pPr>
      <w:r>
        <w:rPr>
          <w:color w:val="0B3D5C"/>
        </w:rPr>
        <w:t>3.4 Validation and models</w:t>
      </w:r>
    </w:p>
    <w:p>
      <w:r>
        <w:rPr>
          <w:i w:val="0"/>
          <w:sz w:val="22"/>
        </w:rPr>
        <w:t>Models are evaluated under random k-fold cross-validation, as in published work, and under spatial-block cross-validation with 10 km blocks (246 blocks). Five classifiers are compared: Random Forest, Support Vector Machine and Logistic Regression, as used in the reference literature, plus XGBoost and LightGBM. Confidence intervals are percentile bootstraps (1,500 resamples) on pooled out-of-fold predictions.</w:t>
      </w:r>
    </w:p>
    <w:p>
      <w:pPr>
        <w:pStyle w:val="Heading1"/>
      </w:pPr>
      <w:r>
        <w:rPr>
          <w:color w:val="0B3D5C"/>
        </w:rPr>
        <w:t>4. Results</w:t>
      </w:r>
    </w:p>
    <w:p>
      <w:pPr>
        <w:pStyle w:val="Heading2"/>
      </w:pPr>
      <w:r>
        <w:rPr>
          <w:color w:val="0B3D5C"/>
        </w:rPr>
        <w:t>4.1 What each correction costs</w:t>
      </w:r>
    </w:p>
    <w:p>
      <w:r>
        <w:rPr>
          <w:i w:val="0"/>
          <w:sz w:val="22"/>
        </w:rPr>
        <w:t>Five corrections separate the published protocol from a defensible estimate. Applying them cumulatively to the same models and the same study area shows how much of the reported figure each one accounts for.</w:t>
      </w:r>
    </w:p>
    <w:p>
      <w:r>
        <w:rPr>
          <w:b/>
          <w:sz w:val="19"/>
        </w:rPr>
        <w:t>Table 1. Cumulative effect of each methodological correction (XGBoost).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Configuration</w:t>
            </w:r>
          </w:p>
        </w:tc>
        <w:tc>
          <w:tcPr>
            <w:tcW w:type="dxa" w:w="1008"/>
          </w:tcPr>
          <w:p>
            <w:r/>
            <w:r>
              <w:rPr>
                <w:b/>
                <w:sz w:val="18"/>
              </w:rPr>
              <w:t>AUC</w:t>
            </w:r>
          </w:p>
        </w:tc>
        <w:tc>
          <w:tcPr>
            <w:tcW w:type="dxa" w:w="864"/>
          </w:tcPr>
          <w:p>
            <w:r/>
            <w:r>
              <w:rPr>
                <w:b/>
                <w:sz w:val="18"/>
              </w:rPr>
              <w:t>Δ</w:t>
            </w:r>
          </w:p>
        </w:tc>
        <w:tc>
          <w:tcPr>
            <w:tcW w:type="dxa" w:w="2880"/>
          </w:tcPr>
          <w:p>
            <w:r/>
            <w:r>
              <w:rPr>
                <w:b/>
                <w:sz w:val="18"/>
              </w:rPr>
              <w:t>What it removes</w:t>
            </w:r>
          </w:p>
        </w:tc>
      </w:tr>
      <w:tr>
        <w:tc>
          <w:tcPr>
            <w:tcW w:type="dxa" w:w="3600"/>
          </w:tcPr>
          <w:p>
            <w:r/>
            <w:r>
              <w:rPr>
                <w:sz w:val="18"/>
              </w:rPr>
              <w:t>Published protocol (flat/vegetated absences, random CV)</w:t>
            </w:r>
          </w:p>
        </w:tc>
        <w:tc>
          <w:tcPr>
            <w:tcW w:type="dxa" w:w="1008"/>
          </w:tcPr>
          <w:p>
            <w:r/>
            <w:r>
              <w:rPr>
                <w:sz w:val="18"/>
              </w:rPr>
              <w:t>1.000</w:t>
            </w:r>
          </w:p>
        </w:tc>
        <w:tc>
          <w:tcPr>
            <w:tcW w:type="dxa" w:w="864"/>
          </w:tcPr>
          <w:p>
            <w:r/>
            <w:r>
              <w:rPr>
                <w:sz w:val="18"/>
              </w:rPr>
              <w:t>nan</w:t>
            </w:r>
          </w:p>
        </w:tc>
        <w:tc>
          <w:tcPr>
            <w:tcW w:type="dxa" w:w="2880"/>
          </w:tcPr>
          <w:p>
            <w:r/>
            <w:r>
              <w:rPr>
                <w:sz w:val="18"/>
              </w:rPr>
              <w:t>nan</w:t>
            </w:r>
          </w:p>
        </w:tc>
      </w:tr>
      <w:tr>
        <w:tc>
          <w:tcPr>
            <w:tcW w:type="dxa" w:w="3600"/>
          </w:tcPr>
          <w:p>
            <w:r/>
            <w:r>
              <w:rPr>
                <w:sz w:val="18"/>
              </w:rPr>
              <w:t>terrain-matched background</w:t>
            </w:r>
          </w:p>
        </w:tc>
        <w:tc>
          <w:tcPr>
            <w:tcW w:type="dxa" w:w="1008"/>
          </w:tcPr>
          <w:p>
            <w:r/>
            <w:r>
              <w:rPr>
                <w:sz w:val="18"/>
              </w:rPr>
              <w:t>0.954</w:t>
            </w:r>
          </w:p>
        </w:tc>
        <w:tc>
          <w:tcPr>
            <w:tcW w:type="dxa" w:w="864"/>
          </w:tcPr>
          <w:p>
            <w:r/>
            <w:r>
              <w:rPr>
                <w:sz w:val="18"/>
              </w:rPr>
              <w:t>-0.046</w:t>
            </w:r>
          </w:p>
        </w:tc>
        <w:tc>
          <w:tcPr>
            <w:tcW w:type="dxa" w:w="2880"/>
          </w:tcPr>
          <w:p>
            <w:r/>
            <w:r>
              <w:rPr>
                <w:sz w:val="18"/>
              </w:rPr>
              <w:t>removes land-cover separability</w:t>
            </w:r>
          </w:p>
        </w:tc>
      </w:tr>
      <w:tr>
        <w:tc>
          <w:tcPr>
            <w:tcW w:type="dxa" w:w="3600"/>
          </w:tcPr>
          <w:p>
            <w:r/>
            <w:r>
              <w:rPr>
                <w:sz w:val="18"/>
              </w:rPr>
              <w:t>spatial-block cross-validation</w:t>
            </w:r>
          </w:p>
        </w:tc>
        <w:tc>
          <w:tcPr>
            <w:tcW w:type="dxa" w:w="1008"/>
          </w:tcPr>
          <w:p>
            <w:r/>
            <w:r>
              <w:rPr>
                <w:sz w:val="18"/>
              </w:rPr>
              <w:t>0.939</w:t>
            </w:r>
          </w:p>
        </w:tc>
        <w:tc>
          <w:tcPr>
            <w:tcW w:type="dxa" w:w="864"/>
          </w:tcPr>
          <w:p>
            <w:r/>
            <w:r>
              <w:rPr>
                <w:sz w:val="18"/>
              </w:rPr>
              <w:t>-0.015</w:t>
            </w:r>
          </w:p>
        </w:tc>
        <w:tc>
          <w:tcPr>
            <w:tcW w:type="dxa" w:w="2880"/>
          </w:tcPr>
          <w:p>
            <w:r/>
            <w:r>
              <w:rPr>
                <w:sz w:val="18"/>
              </w:rPr>
              <w:t>removes fold leakage</w:t>
            </w:r>
          </w:p>
        </w:tc>
      </w:tr>
      <w:tr>
        <w:tc>
          <w:tcPr>
            <w:tcW w:type="dxa" w:w="3600"/>
          </w:tcPr>
          <w:p>
            <w:r/>
            <w:r>
              <w:rPr>
                <w:sz w:val="18"/>
              </w:rPr>
              <w:t>drop self-induced TPI artefact</w:t>
            </w:r>
          </w:p>
        </w:tc>
        <w:tc>
          <w:tcPr>
            <w:tcW w:type="dxa" w:w="1008"/>
          </w:tcPr>
          <w:p>
            <w:r/>
            <w:r>
              <w:rPr>
                <w:sz w:val="18"/>
              </w:rPr>
              <w:t>0.934</w:t>
            </w:r>
          </w:p>
        </w:tc>
        <w:tc>
          <w:tcPr>
            <w:tcW w:type="dxa" w:w="864"/>
          </w:tcPr>
          <w:p>
            <w:r/>
            <w:r>
              <w:rPr>
                <w:sz w:val="18"/>
              </w:rPr>
              <w:t>-0.005</w:t>
            </w:r>
          </w:p>
        </w:tc>
        <w:tc>
          <w:tcPr>
            <w:tcW w:type="dxa" w:w="2880"/>
          </w:tcPr>
          <w:p>
            <w:r/>
            <w:r>
              <w:rPr>
                <w:sz w:val="18"/>
              </w:rPr>
              <w:t>removes our own bias</w:t>
            </w:r>
          </w:p>
        </w:tc>
      </w:tr>
      <w:tr>
        <w:tc>
          <w:tcPr>
            <w:tcW w:type="dxa" w:w="3600"/>
          </w:tcPr>
          <w:p>
            <w:r/>
            <w:r>
              <w:rPr>
                <w:sz w:val="18"/>
              </w:rPr>
              <w:t>melt-out filter and unbiased release points</w:t>
            </w:r>
          </w:p>
        </w:tc>
        <w:tc>
          <w:tcPr>
            <w:tcW w:type="dxa" w:w="1008"/>
          </w:tcPr>
          <w:p>
            <w:r/>
            <w:r>
              <w:rPr>
                <w:sz w:val="18"/>
              </w:rPr>
              <w:t>0.841</w:t>
            </w:r>
          </w:p>
        </w:tc>
        <w:tc>
          <w:tcPr>
            <w:tcW w:type="dxa" w:w="864"/>
          </w:tcPr>
          <w:p>
            <w:r/>
            <w:r>
              <w:rPr>
                <w:sz w:val="18"/>
              </w:rPr>
              <w:t>-0.094</w:t>
            </w:r>
          </w:p>
        </w:tc>
        <w:tc>
          <w:tcPr>
            <w:tcW w:type="dxa" w:w="2880"/>
          </w:tcPr>
          <w:p>
            <w:r/>
            <w:r>
              <w:rPr>
                <w:sz w:val="18"/>
              </w:rPr>
              <w:t>removes false-positive labels</w:t>
            </w:r>
          </w:p>
        </w:tc>
      </w:tr>
    </w:tbl>
    <w:p/>
    <w:p>
      <w:r>
        <w:rPr>
          <w:i w:val="0"/>
          <w:sz w:val="22"/>
        </w:rPr>
        <w:t>The conventional protocol returns AUC 1.000 and the fully corrected configuration 0.841, a difference of 0.159. The largest single term is not the one the field has concentrated on. Spatial cross-validation, the standard methodological correction in this literature, accounts for 0.015; label quality — removing melt-out false positives and deriving release points without an extreme-value rule — accounts for 0.094, roughly six times as much. Inventory precision is not reported at all in the studies we reproduce, so this term is invisible in published work.</w:t>
      </w:r>
    </w:p>
    <w:p>
      <w:pPr>
        <w:jc w:val="center"/>
      </w:pPr>
      <w:r>
        <w:drawing>
          <wp:inline xmlns:a="http://schemas.openxmlformats.org/drawingml/2006/main" xmlns:pic="http://schemas.openxmlformats.org/drawingml/2006/picture">
            <wp:extent cx="5486400" cy="2938613"/>
            <wp:docPr id="1" name="Picture 1"/>
            <wp:cNvGraphicFramePr>
              <a:graphicFrameLocks noChangeAspect="1"/>
            </wp:cNvGraphicFramePr>
            <a:graphic>
              <a:graphicData uri="http://schemas.openxmlformats.org/drawingml/2006/picture">
                <pic:pic>
                  <pic:nvPicPr>
                    <pic:cNvPr id="0" name="fig_correction_ladder.png"/>
                    <pic:cNvPicPr/>
                  </pic:nvPicPr>
                  <pic:blipFill>
                    <a:blip r:embed="rId9"/>
                    <a:stretch>
                      <a:fillRect/>
                    </a:stretch>
                  </pic:blipFill>
                  <pic:spPr>
                    <a:xfrm>
                      <a:off x="0" y="0"/>
                      <a:ext cx="5486400" cy="2938613"/>
                    </a:xfrm>
                    <a:prstGeom prst="rect"/>
                  </pic:spPr>
                </pic:pic>
              </a:graphicData>
            </a:graphic>
          </wp:inline>
        </w:drawing>
      </w:r>
    </w:p>
    <w:p>
      <w:pPr>
        <w:jc w:val="center"/>
      </w:pPr>
      <w:r>
        <w:rPr>
          <w:i/>
          <w:sz w:val="18"/>
        </w:rPr>
        <w:t>Figure 1. Cumulative effect of each correction. Label quality removes more apparent skill than sampling design and spatial validation combined.</w:t>
      </w:r>
    </w:p>
    <w:p>
      <w:pPr>
        <w:pStyle w:val="Heading2"/>
      </w:pPr>
      <w:r>
        <w:rPr>
          <w:color w:val="0B3D5C"/>
        </w:rPr>
        <w:t>4.2 Where reported performance comes from</w:t>
      </w:r>
    </w:p>
    <w:p>
      <w:r>
        <w:rPr>
          <w:b/>
          <w:sz w:val="19"/>
        </w:rPr>
        <w:t>Table 2. Controlled decomposition of reported performance.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tcPr>
          <w:p>
            <w:r/>
            <w:r>
              <w:rPr>
                <w:b/>
                <w:sz w:val="18"/>
              </w:rPr>
              <w:t>Config</w:t>
            </w:r>
          </w:p>
        </w:tc>
        <w:tc>
          <w:tcPr>
            <w:tcW w:type="dxa" w:w="2160"/>
          </w:tcPr>
          <w:p>
            <w:r/>
            <w:r>
              <w:rPr>
                <w:b/>
                <w:sz w:val="18"/>
              </w:rPr>
              <w:t>Absences</w:t>
            </w:r>
          </w:p>
        </w:tc>
        <w:tc>
          <w:tcPr>
            <w:tcW w:type="dxa" w:w="2160"/>
          </w:tcPr>
          <w:p>
            <w:r/>
            <w:r>
              <w:rPr>
                <w:b/>
                <w:sz w:val="18"/>
              </w:rPr>
              <w:t>Cross-validation</w:t>
            </w:r>
          </w:p>
        </w:tc>
        <w:tc>
          <w:tcPr>
            <w:tcW w:type="dxa" w:w="1584"/>
          </w:tcPr>
          <w:p>
            <w:r/>
            <w:r>
              <w:rPr>
                <w:b/>
                <w:sz w:val="18"/>
              </w:rPr>
              <w:t>AUC (RF)</w:t>
            </w:r>
          </w:p>
        </w:tc>
        <w:tc>
          <w:tcPr>
            <w:tcW w:type="dxa" w:w="1872"/>
          </w:tcPr>
          <w:p>
            <w:r/>
            <w:r>
              <w:rPr>
                <w:b/>
                <w:sz w:val="18"/>
              </w:rPr>
              <w:t>AUC (XGBoost)</w:t>
            </w:r>
          </w:p>
        </w:tc>
      </w:tr>
      <w:tr>
        <w:tc>
          <w:tcPr>
            <w:tcW w:type="dxa" w:w="1008"/>
          </w:tcPr>
          <w:p>
            <w:r/>
            <w:r>
              <w:rPr>
                <w:sz w:val="18"/>
              </w:rPr>
              <w:t>A</w:t>
            </w:r>
          </w:p>
        </w:tc>
        <w:tc>
          <w:tcPr>
            <w:tcW w:type="dxa" w:w="2160"/>
          </w:tcPr>
          <w:p>
            <w:r/>
            <w:r>
              <w:rPr>
                <w:sz w:val="18"/>
              </w:rPr>
              <w:t>paper-style</w:t>
            </w:r>
          </w:p>
        </w:tc>
        <w:tc>
          <w:tcPr>
            <w:tcW w:type="dxa" w:w="2160"/>
          </w:tcPr>
          <w:p>
            <w:r/>
            <w:r>
              <w:rPr>
                <w:sz w:val="18"/>
              </w:rPr>
              <w:t>random</w:t>
            </w:r>
          </w:p>
        </w:tc>
        <w:tc>
          <w:tcPr>
            <w:tcW w:type="dxa" w:w="1584"/>
          </w:tcPr>
          <w:p>
            <w:r/>
            <w:r>
              <w:rPr>
                <w:sz w:val="18"/>
              </w:rPr>
              <w:t>1.000</w:t>
            </w:r>
          </w:p>
        </w:tc>
        <w:tc>
          <w:tcPr>
            <w:tcW w:type="dxa" w:w="1872"/>
          </w:tcPr>
          <w:p>
            <w:r/>
            <w:r>
              <w:rPr>
                <w:sz w:val="18"/>
              </w:rPr>
              <w:t>1.000</w:t>
            </w:r>
          </w:p>
        </w:tc>
      </w:tr>
      <w:tr>
        <w:tc>
          <w:tcPr>
            <w:tcW w:type="dxa" w:w="1008"/>
          </w:tcPr>
          <w:p>
            <w:r/>
            <w:r>
              <w:rPr>
                <w:sz w:val="18"/>
              </w:rPr>
              <w:t>B</w:t>
            </w:r>
          </w:p>
        </w:tc>
        <w:tc>
          <w:tcPr>
            <w:tcW w:type="dxa" w:w="2160"/>
          </w:tcPr>
          <w:p>
            <w:r/>
            <w:r>
              <w:rPr>
                <w:sz w:val="18"/>
              </w:rPr>
              <w:t>paper-style</w:t>
            </w:r>
          </w:p>
        </w:tc>
        <w:tc>
          <w:tcPr>
            <w:tcW w:type="dxa" w:w="2160"/>
          </w:tcPr>
          <w:p>
            <w:r/>
            <w:r>
              <w:rPr>
                <w:sz w:val="18"/>
              </w:rPr>
              <w:t>spatial-block</w:t>
            </w:r>
          </w:p>
        </w:tc>
        <w:tc>
          <w:tcPr>
            <w:tcW w:type="dxa" w:w="1584"/>
          </w:tcPr>
          <w:p>
            <w:r/>
            <w:r>
              <w:rPr>
                <w:sz w:val="18"/>
              </w:rPr>
              <w:t>1.000</w:t>
            </w:r>
          </w:p>
        </w:tc>
        <w:tc>
          <w:tcPr>
            <w:tcW w:type="dxa" w:w="1872"/>
          </w:tcPr>
          <w:p>
            <w:r/>
            <w:r>
              <w:rPr>
                <w:sz w:val="18"/>
              </w:rPr>
              <w:t>1.000</w:t>
            </w:r>
          </w:p>
        </w:tc>
      </w:tr>
      <w:tr>
        <w:tc>
          <w:tcPr>
            <w:tcW w:type="dxa" w:w="1008"/>
          </w:tcPr>
          <w:p>
            <w:r/>
            <w:r>
              <w:rPr>
                <w:sz w:val="18"/>
              </w:rPr>
              <w:t>C</w:t>
            </w:r>
          </w:p>
        </w:tc>
        <w:tc>
          <w:tcPr>
            <w:tcW w:type="dxa" w:w="2160"/>
          </w:tcPr>
          <w:p>
            <w:r/>
            <w:r>
              <w:rPr>
                <w:sz w:val="18"/>
              </w:rPr>
              <w:t>terrain-matched</w:t>
            </w:r>
          </w:p>
        </w:tc>
        <w:tc>
          <w:tcPr>
            <w:tcW w:type="dxa" w:w="2160"/>
          </w:tcPr>
          <w:p>
            <w:r/>
            <w:r>
              <w:rPr>
                <w:sz w:val="18"/>
              </w:rPr>
              <w:t>random</w:t>
            </w:r>
          </w:p>
        </w:tc>
        <w:tc>
          <w:tcPr>
            <w:tcW w:type="dxa" w:w="1584"/>
          </w:tcPr>
          <w:p>
            <w:r/>
            <w:r>
              <w:rPr>
                <w:sz w:val="18"/>
              </w:rPr>
              <w:t>0.940</w:t>
            </w:r>
          </w:p>
        </w:tc>
        <w:tc>
          <w:tcPr>
            <w:tcW w:type="dxa" w:w="1872"/>
          </w:tcPr>
          <w:p>
            <w:r/>
            <w:r>
              <w:rPr>
                <w:sz w:val="18"/>
              </w:rPr>
              <w:t>0.954</w:t>
            </w:r>
          </w:p>
        </w:tc>
      </w:tr>
      <w:tr>
        <w:tc>
          <w:tcPr>
            <w:tcW w:type="dxa" w:w="1008"/>
          </w:tcPr>
          <w:p>
            <w:r/>
            <w:r>
              <w:rPr>
                <w:sz w:val="18"/>
              </w:rPr>
              <w:t>D</w:t>
            </w:r>
          </w:p>
        </w:tc>
        <w:tc>
          <w:tcPr>
            <w:tcW w:type="dxa" w:w="2160"/>
          </w:tcPr>
          <w:p>
            <w:r/>
            <w:r>
              <w:rPr>
                <w:sz w:val="18"/>
              </w:rPr>
              <w:t>terrain-matched</w:t>
            </w:r>
          </w:p>
        </w:tc>
        <w:tc>
          <w:tcPr>
            <w:tcW w:type="dxa" w:w="2160"/>
          </w:tcPr>
          <w:p>
            <w:r/>
            <w:r>
              <w:rPr>
                <w:sz w:val="18"/>
              </w:rPr>
              <w:t>spatial-block</w:t>
            </w:r>
          </w:p>
        </w:tc>
        <w:tc>
          <w:tcPr>
            <w:tcW w:type="dxa" w:w="1584"/>
          </w:tcPr>
          <w:p>
            <w:r/>
            <w:r>
              <w:rPr>
                <w:sz w:val="18"/>
              </w:rPr>
              <w:t>0.931</w:t>
            </w:r>
          </w:p>
        </w:tc>
        <w:tc>
          <w:tcPr>
            <w:tcW w:type="dxa" w:w="1872"/>
          </w:tcPr>
          <w:p>
            <w:r/>
            <w:r>
              <w:rPr>
                <w:sz w:val="18"/>
              </w:rPr>
              <w:t>0.939</w:t>
            </w:r>
          </w:p>
        </w:tc>
      </w:tr>
    </w:tbl>
    <w:p/>
    <w:p>
      <w:r>
        <w:rPr>
          <w:i w:val="0"/>
          <w:sz w:val="22"/>
        </w:rPr>
        <w:t>Configuration A, which reproduces published practice, achieves AUC = 1.000: the two classes are perfectly separable. Replacing the absences with terrain-matched background points (A→C) costs 0.046 AUC for XGBoost and 0.060 for Random Forest. Applying spatial-block cross-validation to the original sampling (A→B) changes performance by -0.000. The optimism is therefore attributable to sampling design, and essentially not at all to spatial autocorrelation.</w:t>
      </w:r>
    </w:p>
    <w:p>
      <w:pPr>
        <w:jc w:val="center"/>
      </w:pPr>
      <w:r>
        <w:drawing>
          <wp:inline xmlns:a="http://schemas.openxmlformats.org/drawingml/2006/main" xmlns:pic="http://schemas.openxmlformats.org/drawingml/2006/picture">
            <wp:extent cx="5486400" cy="3500387"/>
            <wp:docPr id="2" name="Picture 2"/>
            <wp:cNvGraphicFramePr>
              <a:graphicFrameLocks noChangeAspect="1"/>
            </wp:cNvGraphicFramePr>
            <a:graphic>
              <a:graphicData uri="http://schemas.openxmlformats.org/drawingml/2006/picture">
                <pic:pic>
                  <pic:nvPicPr>
                    <pic:cNvPr id="0" name="fig_leakage_decomposition.png"/>
                    <pic:cNvPicPr/>
                  </pic:nvPicPr>
                  <pic:blipFill>
                    <a:blip r:embed="rId10"/>
                    <a:stretch>
                      <a:fillRect/>
                    </a:stretch>
                  </pic:blipFill>
                  <pic:spPr>
                    <a:xfrm>
                      <a:off x="0" y="0"/>
                      <a:ext cx="5486400" cy="3500387"/>
                    </a:xfrm>
                    <a:prstGeom prst="rect"/>
                  </pic:spPr>
                </pic:pic>
              </a:graphicData>
            </a:graphic>
          </wp:inline>
        </w:drawing>
      </w:r>
    </w:p>
    <w:p>
      <w:pPr>
        <w:jc w:val="center"/>
      </w:pPr>
      <w:r>
        <w:rPr>
          <w:i/>
          <w:sz w:val="18"/>
        </w:rPr>
        <w:t>Figure 2. Decomposition of reported performance. Paper-style absences produce perfect separation regardless of the cross-validation scheme.</w:t>
      </w:r>
    </w:p>
    <w:p>
      <w:r>
        <w:rPr>
          <w:i w:val="0"/>
          <w:sz w:val="22"/>
        </w:rPr>
        <w:t>This result does not depend on the quality of our inventory. Repeating the contrast at four recurrence thresholds, configuration A remains at AUC 1.000 throughout, including at n = 240 presence points — comparable to the 118 points used in the reference study.</w:t>
      </w:r>
    </w:p>
    <w:p>
      <w:r>
        <w:rPr>
          <w:b/>
          <w:sz w:val="19"/>
        </w:rPr>
        <w:t>Table 3. Sensitivity of the decomposition to inventory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Recurrence</w:t>
            </w:r>
          </w:p>
        </w:tc>
        <w:tc>
          <w:tcPr>
            <w:tcW w:type="dxa" w:w="1584"/>
          </w:tcPr>
          <w:p>
            <w:r/>
            <w:r>
              <w:rPr>
                <w:b/>
                <w:sz w:val="18"/>
              </w:rPr>
              <w:t>n presence</w:t>
            </w:r>
          </w:p>
        </w:tc>
        <w:tc>
          <w:tcPr>
            <w:tcW w:type="dxa" w:w="1584"/>
          </w:tcPr>
          <w:p>
            <w:r/>
            <w:r>
              <w:rPr>
                <w:b/>
                <w:sz w:val="18"/>
              </w:rPr>
              <w:t>A (paper)</w:t>
            </w:r>
          </w:p>
        </w:tc>
        <w:tc>
          <w:tcPr>
            <w:tcW w:type="dxa" w:w="1728"/>
          </w:tcPr>
          <w:p>
            <w:r/>
            <w:r>
              <w:rPr>
                <w:b/>
                <w:sz w:val="18"/>
              </w:rPr>
              <w:t>D (matched)</w:t>
            </w:r>
          </w:p>
        </w:tc>
        <w:tc>
          <w:tcPr>
            <w:tcW w:type="dxa" w:w="1584"/>
          </w:tcPr>
          <w:p>
            <w:r/>
            <w:r>
              <w:rPr>
                <w:b/>
                <w:sz w:val="18"/>
              </w:rPr>
              <w:t>Difference</w:t>
            </w:r>
          </w:p>
        </w:tc>
      </w:tr>
      <w:tr>
        <w:tc>
          <w:tcPr>
            <w:tcW w:type="dxa" w:w="1440"/>
          </w:tcPr>
          <w:p>
            <w:r/>
            <w:r>
              <w:rPr>
                <w:sz w:val="18"/>
              </w:rPr>
              <w:t>≥3</w:t>
            </w:r>
          </w:p>
        </w:tc>
        <w:tc>
          <w:tcPr>
            <w:tcW w:type="dxa" w:w="1584"/>
          </w:tcPr>
          <w:p>
            <w:r/>
            <w:r>
              <w:rPr>
                <w:sz w:val="18"/>
              </w:rPr>
              <w:t>6,344</w:t>
            </w:r>
          </w:p>
        </w:tc>
        <w:tc>
          <w:tcPr>
            <w:tcW w:type="dxa" w:w="1584"/>
          </w:tcPr>
          <w:p>
            <w:r/>
            <w:r>
              <w:rPr>
                <w:sz w:val="18"/>
              </w:rPr>
              <w:t>1.000</w:t>
            </w:r>
          </w:p>
        </w:tc>
        <w:tc>
          <w:tcPr>
            <w:tcW w:type="dxa" w:w="1728"/>
          </w:tcPr>
          <w:p>
            <w:r/>
            <w:r>
              <w:rPr>
                <w:sz w:val="18"/>
              </w:rPr>
              <w:t>0.951</w:t>
            </w:r>
          </w:p>
        </w:tc>
        <w:tc>
          <w:tcPr>
            <w:tcW w:type="dxa" w:w="1584"/>
          </w:tcPr>
          <w:p>
            <w:r/>
            <w:r>
              <w:rPr>
                <w:sz w:val="18"/>
              </w:rPr>
              <w:t>0.048</w:t>
            </w:r>
          </w:p>
        </w:tc>
      </w:tr>
      <w:tr>
        <w:tc>
          <w:tcPr>
            <w:tcW w:type="dxa" w:w="1440"/>
          </w:tcPr>
          <w:p>
            <w:r/>
            <w:r>
              <w:rPr>
                <w:sz w:val="18"/>
              </w:rPr>
              <w:t>≥4</w:t>
            </w:r>
          </w:p>
        </w:tc>
        <w:tc>
          <w:tcPr>
            <w:tcW w:type="dxa" w:w="1584"/>
          </w:tcPr>
          <w:p>
            <w:r/>
            <w:r>
              <w:rPr>
                <w:sz w:val="18"/>
              </w:rPr>
              <w:t>3,179</w:t>
            </w:r>
          </w:p>
        </w:tc>
        <w:tc>
          <w:tcPr>
            <w:tcW w:type="dxa" w:w="1584"/>
          </w:tcPr>
          <w:p>
            <w:r/>
            <w:r>
              <w:rPr>
                <w:sz w:val="18"/>
              </w:rPr>
              <w:t>1.000</w:t>
            </w:r>
          </w:p>
        </w:tc>
        <w:tc>
          <w:tcPr>
            <w:tcW w:type="dxa" w:w="1728"/>
          </w:tcPr>
          <w:p>
            <w:r/>
            <w:r>
              <w:rPr>
                <w:sz w:val="18"/>
              </w:rPr>
              <w:t>0.939</w:t>
            </w:r>
          </w:p>
        </w:tc>
        <w:tc>
          <w:tcPr>
            <w:tcW w:type="dxa" w:w="1584"/>
          </w:tcPr>
          <w:p>
            <w:r/>
            <w:r>
              <w:rPr>
                <w:sz w:val="18"/>
              </w:rPr>
              <w:t>0.060</w:t>
            </w:r>
          </w:p>
        </w:tc>
      </w:tr>
      <w:tr>
        <w:tc>
          <w:tcPr>
            <w:tcW w:type="dxa" w:w="1440"/>
          </w:tcPr>
          <w:p>
            <w:r/>
            <w:r>
              <w:rPr>
                <w:sz w:val="18"/>
              </w:rPr>
              <w:t>≥5</w:t>
            </w:r>
          </w:p>
        </w:tc>
        <w:tc>
          <w:tcPr>
            <w:tcW w:type="dxa" w:w="1584"/>
          </w:tcPr>
          <w:p>
            <w:r/>
            <w:r>
              <w:rPr>
                <w:sz w:val="18"/>
              </w:rPr>
              <w:t>914</w:t>
            </w:r>
          </w:p>
        </w:tc>
        <w:tc>
          <w:tcPr>
            <w:tcW w:type="dxa" w:w="1584"/>
          </w:tcPr>
          <w:p>
            <w:r/>
            <w:r>
              <w:rPr>
                <w:sz w:val="18"/>
              </w:rPr>
              <w:t>1.000</w:t>
            </w:r>
          </w:p>
        </w:tc>
        <w:tc>
          <w:tcPr>
            <w:tcW w:type="dxa" w:w="1728"/>
          </w:tcPr>
          <w:p>
            <w:r/>
            <w:r>
              <w:rPr>
                <w:sz w:val="18"/>
              </w:rPr>
              <w:t>0.928</w:t>
            </w:r>
          </w:p>
        </w:tc>
        <w:tc>
          <w:tcPr>
            <w:tcW w:type="dxa" w:w="1584"/>
          </w:tcPr>
          <w:p>
            <w:r/>
            <w:r>
              <w:rPr>
                <w:sz w:val="18"/>
              </w:rPr>
              <w:t>0.072</w:t>
            </w:r>
          </w:p>
        </w:tc>
      </w:tr>
      <w:tr>
        <w:tc>
          <w:tcPr>
            <w:tcW w:type="dxa" w:w="1440"/>
          </w:tcPr>
          <w:p>
            <w:r/>
            <w:r>
              <w:rPr>
                <w:sz w:val="18"/>
              </w:rPr>
              <w:t>≥6</w:t>
            </w:r>
          </w:p>
        </w:tc>
        <w:tc>
          <w:tcPr>
            <w:tcW w:type="dxa" w:w="1584"/>
          </w:tcPr>
          <w:p>
            <w:r/>
            <w:r>
              <w:rPr>
                <w:sz w:val="18"/>
              </w:rPr>
              <w:t>240</w:t>
            </w:r>
          </w:p>
        </w:tc>
        <w:tc>
          <w:tcPr>
            <w:tcW w:type="dxa" w:w="1584"/>
          </w:tcPr>
          <w:p>
            <w:r/>
            <w:r>
              <w:rPr>
                <w:sz w:val="18"/>
              </w:rPr>
              <w:t>1.000</w:t>
            </w:r>
          </w:p>
        </w:tc>
        <w:tc>
          <w:tcPr>
            <w:tcW w:type="dxa" w:w="1728"/>
          </w:tcPr>
          <w:p>
            <w:r/>
            <w:r>
              <w:rPr>
                <w:sz w:val="18"/>
              </w:rPr>
              <w:t>0.898</w:t>
            </w:r>
          </w:p>
        </w:tc>
        <w:tc>
          <w:tcPr>
            <w:tcW w:type="dxa" w:w="1584"/>
          </w:tcPr>
          <w:p>
            <w:r/>
            <w:r>
              <w:rPr>
                <w:sz w:val="18"/>
              </w:rPr>
              <w:t>0.102</w:t>
            </w:r>
          </w:p>
        </w:tc>
      </w:tr>
    </w:tbl>
    <w:p/>
    <w:p>
      <w:pPr>
        <w:jc w:val="center"/>
      </w:pPr>
      <w:r>
        <w:drawing>
          <wp:inline xmlns:a="http://schemas.openxmlformats.org/drawingml/2006/main" xmlns:pic="http://schemas.openxmlformats.org/drawingml/2006/picture">
            <wp:extent cx="5486400" cy="3592718"/>
            <wp:docPr id="3" name="Picture 3"/>
            <wp:cNvGraphicFramePr>
              <a:graphicFrameLocks noChangeAspect="1"/>
            </wp:cNvGraphicFramePr>
            <a:graphic>
              <a:graphicData uri="http://schemas.openxmlformats.org/drawingml/2006/picture">
                <pic:pic>
                  <pic:nvPicPr>
                    <pic:cNvPr id="0" name="fig_label_sensitivity.png"/>
                    <pic:cNvPicPr/>
                  </pic:nvPicPr>
                  <pic:blipFill>
                    <a:blip r:embed="rId11"/>
                    <a:stretch>
                      <a:fillRect/>
                    </a:stretch>
                  </pic:blipFill>
                  <pic:spPr>
                    <a:xfrm>
                      <a:off x="0" y="0"/>
                      <a:ext cx="5486400" cy="3592718"/>
                    </a:xfrm>
                    <a:prstGeom prst="rect"/>
                  </pic:spPr>
                </pic:pic>
              </a:graphicData>
            </a:graphic>
          </wp:inline>
        </w:drawing>
      </w:r>
    </w:p>
    <w:p>
      <w:pPr>
        <w:jc w:val="center"/>
      </w:pPr>
      <w:r>
        <w:rPr>
          <w:i/>
          <w:sz w:val="18"/>
        </w:rPr>
        <w:t>Figure 3. The sampling artefact is independent of inventory size and label confidence.</w:t>
      </w:r>
    </w:p>
    <w:p>
      <w:pPr>
        <w:pStyle w:val="Heading2"/>
      </w:pPr>
      <w:r>
        <w:rPr>
          <w:color w:val="0B3D5C"/>
        </w:rPr>
        <w:t>4.3 How many detections are real?</w:t>
      </w:r>
    </w:p>
    <w:p>
      <w:r>
        <w:rPr>
          <w:i w:val="0"/>
          <w:sz w:val="22"/>
        </w:rPr>
        <w:t>One hundred detections were drawn at random, twenty per month, and reviewed against Sentinel-2 imagery from each detection's own acquisition window, shuffled so the reviewer could not see which confidence tier a chip came from. They were scored twice. The first pass was unaided. The second applied an explicit rule, after the first pass revealed that a permissive reading of ambiguous chips had crept in: a detection counts as verified only if (i) snow is present on the slope in the BEFORE image, since a bare slope has no snowpack to release, (ii) a localized, rough, darker feature appears inside the outline in AFTER, and (iii) the surrounding slope is essentially unchanged between the two dates. Frames too cloudy or washed out to assess are recorded as unjudgeable and excluded rather than counted as failures.</w:t>
      </w:r>
    </w:p>
    <w:p>
      <w:r>
        <w:rPr>
          <w:b/>
          <w:sz w:val="19"/>
        </w:rPr>
        <w:t>Table 4. Blind optical verification of 100 Sentinel-1 detections, scored twice.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592"/>
          </w:tcPr>
          <w:p>
            <w:r/>
            <w:r>
              <w:rPr>
                <w:b/>
                <w:sz w:val="18"/>
              </w:rPr>
              <w:t>Scoring</w:t>
            </w:r>
          </w:p>
        </w:tc>
        <w:tc>
          <w:tcPr>
            <w:tcW w:type="dxa" w:w="1296"/>
          </w:tcPr>
          <w:p>
            <w:r/>
            <w:r>
              <w:rPr>
                <w:b/>
                <w:sz w:val="18"/>
              </w:rPr>
              <w:t>verified</w:t>
            </w:r>
          </w:p>
        </w:tc>
        <w:tc>
          <w:tcPr>
            <w:tcW w:type="dxa" w:w="1296"/>
          </w:tcPr>
          <w:p>
            <w:r/>
            <w:r>
              <w:rPr>
                <w:b/>
                <w:sz w:val="18"/>
              </w:rPr>
              <w:t>rejected</w:t>
            </w:r>
          </w:p>
        </w:tc>
        <w:tc>
          <w:tcPr>
            <w:tcW w:type="dxa" w:w="1440"/>
          </w:tcPr>
          <w:p>
            <w:r/>
            <w:r>
              <w:rPr>
                <w:b/>
                <w:sz w:val="18"/>
              </w:rPr>
              <w:t>unjudgeable</w:t>
            </w:r>
          </w:p>
        </w:tc>
        <w:tc>
          <w:tcPr>
            <w:tcW w:type="dxa" w:w="1440"/>
          </w:tcPr>
          <w:p>
            <w:r/>
            <w:r>
              <w:rPr>
                <w:b/>
                <w:sz w:val="18"/>
              </w:rPr>
              <w:t>precision</w:t>
            </w:r>
          </w:p>
        </w:tc>
        <w:tc>
          <w:tcPr>
            <w:tcW w:type="dxa" w:w="2016"/>
          </w:tcPr>
          <w:p>
            <w:r/>
            <w:r>
              <w:rPr>
                <w:b/>
                <w:sz w:val="18"/>
              </w:rPr>
              <w:t>95% CI</w:t>
            </w:r>
          </w:p>
        </w:tc>
      </w:tr>
      <w:tr>
        <w:tc>
          <w:tcPr>
            <w:tcW w:type="dxa" w:w="2592"/>
          </w:tcPr>
          <w:p>
            <w:r/>
            <w:r>
              <w:rPr>
                <w:sz w:val="18"/>
              </w:rPr>
              <w:t>first pass (unaided)</w:t>
            </w:r>
          </w:p>
        </w:tc>
        <w:tc>
          <w:tcPr>
            <w:tcW w:type="dxa" w:w="1296"/>
          </w:tcPr>
          <w:p>
            <w:r/>
            <w:r>
              <w:rPr>
                <w:sz w:val="18"/>
              </w:rPr>
              <w:t>24</w:t>
            </w:r>
          </w:p>
        </w:tc>
        <w:tc>
          <w:tcPr>
            <w:tcW w:type="dxa" w:w="1296"/>
          </w:tcPr>
          <w:p>
            <w:r/>
            <w:r>
              <w:rPr>
                <w:sz w:val="18"/>
              </w:rPr>
              <w:t>66</w:t>
            </w:r>
          </w:p>
        </w:tc>
        <w:tc>
          <w:tcPr>
            <w:tcW w:type="dxa" w:w="1440"/>
          </w:tcPr>
          <w:p>
            <w:r/>
            <w:r>
              <w:rPr>
                <w:sz w:val="18"/>
              </w:rPr>
              <w:t>10</w:t>
            </w:r>
          </w:p>
        </w:tc>
        <w:tc>
          <w:tcPr>
            <w:tcW w:type="dxa" w:w="1440"/>
          </w:tcPr>
          <w:p>
            <w:r/>
            <w:r>
              <w:rPr>
                <w:sz w:val="18"/>
              </w:rPr>
              <w:t>26.7%</w:t>
            </w:r>
          </w:p>
        </w:tc>
        <w:tc>
          <w:tcPr>
            <w:tcW w:type="dxa" w:w="2016"/>
          </w:tcPr>
          <w:p>
            <w:r/>
            <w:r>
              <w:rPr>
                <w:sz w:val="18"/>
              </w:rPr>
              <w:t>[18.6%, 36.6%]</w:t>
            </w:r>
          </w:p>
        </w:tc>
      </w:tr>
      <w:tr>
        <w:tc>
          <w:tcPr>
            <w:tcW w:type="dxa" w:w="2592"/>
          </w:tcPr>
          <w:p>
            <w:r/>
            <w:r>
              <w:rPr>
                <w:sz w:val="18"/>
              </w:rPr>
              <w:t>rule-based re-scoring</w:t>
            </w:r>
          </w:p>
        </w:tc>
        <w:tc>
          <w:tcPr>
            <w:tcW w:type="dxa" w:w="1296"/>
          </w:tcPr>
          <w:p>
            <w:r/>
            <w:r>
              <w:rPr>
                <w:sz w:val="18"/>
              </w:rPr>
              <w:t>3</w:t>
            </w:r>
          </w:p>
        </w:tc>
        <w:tc>
          <w:tcPr>
            <w:tcW w:type="dxa" w:w="1296"/>
          </w:tcPr>
          <w:p>
            <w:r/>
            <w:r>
              <w:rPr>
                <w:sz w:val="18"/>
              </w:rPr>
              <w:t>86</w:t>
            </w:r>
          </w:p>
        </w:tc>
        <w:tc>
          <w:tcPr>
            <w:tcW w:type="dxa" w:w="1440"/>
          </w:tcPr>
          <w:p>
            <w:r/>
            <w:r>
              <w:rPr>
                <w:sz w:val="18"/>
              </w:rPr>
              <w:t>11</w:t>
            </w:r>
          </w:p>
        </w:tc>
        <w:tc>
          <w:tcPr>
            <w:tcW w:type="dxa" w:w="1440"/>
          </w:tcPr>
          <w:p>
            <w:r/>
            <w:r>
              <w:rPr>
                <w:sz w:val="18"/>
              </w:rPr>
              <w:t>3.4%</w:t>
            </w:r>
          </w:p>
        </w:tc>
        <w:tc>
          <w:tcPr>
            <w:tcW w:type="dxa" w:w="2016"/>
          </w:tcPr>
          <w:p>
            <w:r/>
            <w:r>
              <w:rPr>
                <w:sz w:val="18"/>
              </w:rPr>
              <w:t>[1.2%, 9.4%]</w:t>
            </w:r>
          </w:p>
        </w:tc>
      </w:tr>
    </w:tbl>
    <w:p/>
    <w:p>
      <w:r>
        <w:rPr>
          <w:i w:val="0"/>
          <w:sz w:val="22"/>
        </w:rPr>
        <w:t>The two scorings agree on 79 of 100 chips (Cohen's kappa 0.49) and differ by almost an order of magnitude in the resulting precision. Every disagreement is a chip the first pass accepted and the rule rejects, and they fall into a few repeated patterns: ten where the slope is bare rock in the BEFORE image and acquires snow by the AFTER image — a snowfall, not a release — eight where the entire frame darkens as the snowpack ablates, two with no visible change inside the outline, and one whose BEFORE frame is blank cloud. We report both numbers because the gap between them is itself a result: optical verification of SAR avalanche detections is far less reliable than its routine absence from the literature would suggest, and a single unaided reviewer can inflate apparent precision severalfold.</w:t>
      </w:r>
    </w:p>
    <w:p>
      <w:r>
        <w:rPr>
          <w:i w:val="0"/>
          <w:sz w:val="22"/>
        </w:rPr>
        <w:t>Under the stated rule, precision of the unfiltered detections is 3.4% (3/89). Nearly every rejection is the same failure: between the two acquisitions the whole scene changes, as snow falls across it or melts off it, and bare or wetted ground raises backscatter exactly as avalanche debris does. Contrary to our expectation this is not confined to the ablation season — rejected detections include a February-to-March pair over which the snowpack disappeared completely, and ten January detections on slopes that were bare rock days earlier.</w:t>
      </w:r>
    </w:p>
    <w:p>
      <w:r>
        <w:rPr>
          <w:b/>
          <w:sz w:val="19"/>
        </w:rPr>
        <w:t>Table 5. Effect of the snow-persistence filter on the reviewed detections.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168"/>
          </w:tcPr>
          <w:p>
            <w:r/>
            <w:r>
              <w:rPr>
                <w:b/>
                <w:sz w:val="18"/>
              </w:rPr>
              <w:t>Reviewed as</w:t>
            </w:r>
          </w:p>
        </w:tc>
        <w:tc>
          <w:tcPr>
            <w:tcW w:type="dxa" w:w="864"/>
          </w:tcPr>
          <w:p>
            <w:r/>
            <w:r>
              <w:rPr>
                <w:b/>
                <w:sz w:val="18"/>
              </w:rPr>
              <w:t>n</w:t>
            </w:r>
          </w:p>
        </w:tc>
        <w:tc>
          <w:tcPr>
            <w:tcW w:type="dxa" w:w="2016"/>
          </w:tcPr>
          <w:p>
            <w:r/>
            <w:r>
              <w:rPr>
                <w:b/>
                <w:sz w:val="18"/>
              </w:rPr>
              <w:t>removed by filter</w:t>
            </w:r>
          </w:p>
        </w:tc>
        <w:tc>
          <w:tcPr>
            <w:tcW w:type="dxa" w:w="1440"/>
          </w:tcPr>
          <w:p>
            <w:r/>
            <w:r>
              <w:rPr>
                <w:b/>
                <w:sz w:val="18"/>
              </w:rPr>
              <w:t>% removed</w:t>
            </w:r>
          </w:p>
        </w:tc>
      </w:tr>
      <w:tr>
        <w:tc>
          <w:tcPr>
            <w:tcW w:type="dxa" w:w="3168"/>
          </w:tcPr>
          <w:p>
            <w:r/>
            <w:r>
              <w:rPr>
                <w:sz w:val="18"/>
              </w:rPr>
              <w:t>verified avalanche</w:t>
            </w:r>
          </w:p>
        </w:tc>
        <w:tc>
          <w:tcPr>
            <w:tcW w:type="dxa" w:w="864"/>
          </w:tcPr>
          <w:p>
            <w:r/>
            <w:r>
              <w:rPr>
                <w:sz w:val="18"/>
              </w:rPr>
              <w:t>3</w:t>
            </w:r>
          </w:p>
        </w:tc>
        <w:tc>
          <w:tcPr>
            <w:tcW w:type="dxa" w:w="2016"/>
          </w:tcPr>
          <w:p>
            <w:r/>
            <w:r>
              <w:rPr>
                <w:sz w:val="18"/>
              </w:rPr>
              <w:t>0</w:t>
            </w:r>
          </w:p>
        </w:tc>
        <w:tc>
          <w:tcPr>
            <w:tcW w:type="dxa" w:w="1440"/>
          </w:tcPr>
          <w:p>
            <w:r/>
            <w:r>
              <w:rPr>
                <w:sz w:val="18"/>
              </w:rPr>
              <w:t>0%</w:t>
            </w:r>
          </w:p>
        </w:tc>
      </w:tr>
      <w:tr>
        <w:tc>
          <w:tcPr>
            <w:tcW w:type="dxa" w:w="3168"/>
          </w:tcPr>
          <w:p>
            <w:r/>
            <w:r>
              <w:rPr>
                <w:sz w:val="18"/>
              </w:rPr>
              <w:t>rejected (false positive)</w:t>
            </w:r>
          </w:p>
        </w:tc>
        <w:tc>
          <w:tcPr>
            <w:tcW w:type="dxa" w:w="864"/>
          </w:tcPr>
          <w:p>
            <w:r/>
            <w:r>
              <w:rPr>
                <w:sz w:val="18"/>
              </w:rPr>
              <w:t>86</w:t>
            </w:r>
          </w:p>
        </w:tc>
        <w:tc>
          <w:tcPr>
            <w:tcW w:type="dxa" w:w="2016"/>
          </w:tcPr>
          <w:p>
            <w:r/>
            <w:r>
              <w:rPr>
                <w:sz w:val="18"/>
              </w:rPr>
              <w:t>62</w:t>
            </w:r>
          </w:p>
        </w:tc>
        <w:tc>
          <w:tcPr>
            <w:tcW w:type="dxa" w:w="1440"/>
          </w:tcPr>
          <w:p>
            <w:r/>
            <w:r>
              <w:rPr>
                <w:sz w:val="18"/>
              </w:rPr>
              <w:t>72%</w:t>
            </w:r>
          </w:p>
        </w:tc>
      </w:tr>
      <w:tr>
        <w:tc>
          <w:tcPr>
            <w:tcW w:type="dxa" w:w="3168"/>
          </w:tcPr>
          <w:p>
            <w:r/>
            <w:r>
              <w:rPr>
                <w:sz w:val="18"/>
              </w:rPr>
              <w:t>unjudgeable</w:t>
            </w:r>
          </w:p>
        </w:tc>
        <w:tc>
          <w:tcPr>
            <w:tcW w:type="dxa" w:w="864"/>
          </w:tcPr>
          <w:p>
            <w:r/>
            <w:r>
              <w:rPr>
                <w:sz w:val="18"/>
              </w:rPr>
              <w:t>11</w:t>
            </w:r>
          </w:p>
        </w:tc>
        <w:tc>
          <w:tcPr>
            <w:tcW w:type="dxa" w:w="2016"/>
          </w:tcPr>
          <w:p>
            <w:r/>
            <w:r>
              <w:rPr>
                <w:sz w:val="18"/>
              </w:rPr>
              <w:t>5</w:t>
            </w:r>
          </w:p>
        </w:tc>
        <w:tc>
          <w:tcPr>
            <w:tcW w:type="dxa" w:w="1440"/>
          </w:tcPr>
          <w:p>
            <w:r/>
            <w:r>
              <w:rPr>
                <w:sz w:val="18"/>
              </w:rPr>
              <w:t>45%</w:t>
            </w:r>
          </w:p>
        </w:tc>
      </w:tr>
    </w:tbl>
    <w:p/>
    <w:p>
      <w:r>
        <w:rPr>
          <w:i w:val="0"/>
          <w:sz w:val="22"/>
        </w:rPr>
        <w:t>Requiring MODIS snow cover to persist after each event removes 72% of the verified false positives and none of the three verified avalanches, raising precision to 11.1% and shrinking the inventory from 7,055 to 2,064 events. With so few confirmed avalanches the precision interval is wide and the point estimate should not be read closely; the filter's selectivity — which failure mode it removes and which detections it preserves — is the more robust quantity, and it is the one a susceptibility study depends on.</w:t>
      </w:r>
    </w:p>
    <w:p>
      <w:r>
        <w:rPr>
          <w:i w:val="0"/>
          <w:sz w:val="22"/>
        </w:rPr>
        <w:t>We report these figures because this literature does not. Published inventories in the region carry no precision estimate, so the proportion of training labels that are genuine avalanches is unknown in every study we reproduce — possibly far higher than ours, since those inventories are field-verified, but unknown nonetheless. Section 4.1 shows why that matters less than it appears for the central result and more than it appears for the maps built on such inventories.</w:t>
      </w:r>
    </w:p>
    <w:p>
      <w:pPr>
        <w:pStyle w:val="Heading2"/>
      </w:pPr>
      <w:r>
        <w:rPr>
          <w:color w:val="0B3D5C"/>
        </w:rPr>
        <w:t>4.4 Model comparison under honest validation</w:t>
      </w:r>
    </w:p>
    <w:p>
      <w:r>
        <w:rPr>
          <w:b/>
          <w:sz w:val="19"/>
        </w:rPr>
        <w:t>Table 6. Model performance on the corrected inventory with multi-scale predictors, at a cross-validated decision threshold.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872"/>
          </w:tcPr>
          <w:p>
            <w:r/>
            <w:r>
              <w:rPr>
                <w:b/>
                <w:sz w:val="18"/>
              </w:rPr>
              <w:t>Model</w:t>
            </w:r>
          </w:p>
        </w:tc>
        <w:tc>
          <w:tcPr>
            <w:tcW w:type="dxa" w:w="1584"/>
          </w:tcPr>
          <w:p>
            <w:r/>
            <w:r>
              <w:rPr>
                <w:b/>
                <w:sz w:val="18"/>
              </w:rPr>
              <w:t>AUC (random)</w:t>
            </w:r>
          </w:p>
        </w:tc>
        <w:tc>
          <w:tcPr>
            <w:tcW w:type="dxa" w:w="2448"/>
          </w:tcPr>
          <w:p>
            <w:r/>
            <w:r>
              <w:rPr>
                <w:b/>
                <w:sz w:val="18"/>
              </w:rPr>
              <w:t>AUC (spatial, 95% CI)</w:t>
            </w:r>
          </w:p>
        </w:tc>
        <w:tc>
          <w:tcPr>
            <w:tcW w:type="dxa" w:w="1296"/>
          </w:tcPr>
          <w:p>
            <w:r/>
            <w:r>
              <w:rPr>
                <w:b/>
                <w:sz w:val="18"/>
              </w:rPr>
              <w:t>Accuracy</w:t>
            </w:r>
          </w:p>
        </w:tc>
        <w:tc>
          <w:tcPr>
            <w:tcW w:type="dxa" w:w="1152"/>
          </w:tcPr>
          <w:p>
            <w:r/>
            <w:r>
              <w:rPr>
                <w:b/>
                <w:sz w:val="18"/>
              </w:rPr>
              <w:t>Recall</w:t>
            </w:r>
          </w:p>
        </w:tc>
        <w:tc>
          <w:tcPr>
            <w:tcW w:type="dxa" w:w="1008"/>
          </w:tcPr>
          <w:p>
            <w:r/>
            <w:r>
              <w:rPr>
                <w:b/>
                <w:sz w:val="18"/>
              </w:rPr>
              <w:t>Kappa</w:t>
            </w:r>
          </w:p>
        </w:tc>
      </w:tr>
      <w:tr>
        <w:tc>
          <w:tcPr>
            <w:tcW w:type="dxa" w:w="1872"/>
          </w:tcPr>
          <w:p>
            <w:r/>
            <w:r>
              <w:rPr>
                <w:sz w:val="18"/>
              </w:rPr>
              <w:t>LightGBM</w:t>
            </w:r>
          </w:p>
        </w:tc>
        <w:tc>
          <w:tcPr>
            <w:tcW w:type="dxa" w:w="1584"/>
          </w:tcPr>
          <w:p>
            <w:r/>
            <w:r>
              <w:rPr>
                <w:sz w:val="18"/>
              </w:rPr>
              <w:t>0.970</w:t>
            </w:r>
          </w:p>
        </w:tc>
        <w:tc>
          <w:tcPr>
            <w:tcW w:type="dxa" w:w="2448"/>
          </w:tcPr>
          <w:p>
            <w:r/>
            <w:r>
              <w:rPr>
                <w:sz w:val="18"/>
              </w:rPr>
              <w:t>0.856 [0.844, 0.866]</w:t>
            </w:r>
          </w:p>
        </w:tc>
        <w:tc>
          <w:tcPr>
            <w:tcW w:type="dxa" w:w="1296"/>
          </w:tcPr>
          <w:p>
            <w:r/>
            <w:r>
              <w:rPr>
                <w:sz w:val="18"/>
              </w:rPr>
              <w:t>0.772</w:t>
            </w:r>
          </w:p>
        </w:tc>
        <w:tc>
          <w:tcPr>
            <w:tcW w:type="dxa" w:w="1152"/>
          </w:tcPr>
          <w:p>
            <w:r/>
            <w:r>
              <w:rPr>
                <w:sz w:val="18"/>
              </w:rPr>
              <w:t>0.730</w:t>
            </w:r>
          </w:p>
        </w:tc>
        <w:tc>
          <w:tcPr>
            <w:tcW w:type="dxa" w:w="1008"/>
          </w:tcPr>
          <w:p>
            <w:r/>
            <w:r>
              <w:rPr>
                <w:sz w:val="18"/>
              </w:rPr>
              <w:t>0.543</w:t>
            </w:r>
          </w:p>
        </w:tc>
      </w:tr>
      <w:tr>
        <w:tc>
          <w:tcPr>
            <w:tcW w:type="dxa" w:w="1872"/>
          </w:tcPr>
          <w:p>
            <w:r/>
            <w:r>
              <w:rPr>
                <w:sz w:val="18"/>
              </w:rPr>
              <w:t>XGBoost</w:t>
            </w:r>
          </w:p>
        </w:tc>
        <w:tc>
          <w:tcPr>
            <w:tcW w:type="dxa" w:w="1584"/>
          </w:tcPr>
          <w:p>
            <w:r/>
            <w:r>
              <w:rPr>
                <w:sz w:val="18"/>
              </w:rPr>
              <w:t>0.967</w:t>
            </w:r>
          </w:p>
        </w:tc>
        <w:tc>
          <w:tcPr>
            <w:tcW w:type="dxa" w:w="2448"/>
          </w:tcPr>
          <w:p>
            <w:r/>
            <w:r>
              <w:rPr>
                <w:sz w:val="18"/>
              </w:rPr>
              <w:t>0.866 [0.855, 0.876]</w:t>
            </w:r>
          </w:p>
        </w:tc>
        <w:tc>
          <w:tcPr>
            <w:tcW w:type="dxa" w:w="1296"/>
          </w:tcPr>
          <w:p>
            <w:r/>
            <w:r>
              <w:rPr>
                <w:sz w:val="18"/>
              </w:rPr>
              <w:t>0.784</w:t>
            </w:r>
          </w:p>
        </w:tc>
        <w:tc>
          <w:tcPr>
            <w:tcW w:type="dxa" w:w="1152"/>
          </w:tcPr>
          <w:p>
            <w:r/>
            <w:r>
              <w:rPr>
                <w:sz w:val="18"/>
              </w:rPr>
              <w:t>0.758</w:t>
            </w:r>
          </w:p>
        </w:tc>
        <w:tc>
          <w:tcPr>
            <w:tcW w:type="dxa" w:w="1008"/>
          </w:tcPr>
          <w:p>
            <w:r/>
            <w:r>
              <w:rPr>
                <w:sz w:val="18"/>
              </w:rPr>
              <w:t>0.569</w:t>
            </w:r>
          </w:p>
        </w:tc>
      </w:tr>
      <w:tr>
        <w:tc>
          <w:tcPr>
            <w:tcW w:type="dxa" w:w="1872"/>
          </w:tcPr>
          <w:p>
            <w:r/>
            <w:r>
              <w:rPr>
                <w:sz w:val="18"/>
              </w:rPr>
              <w:t>Random Forest</w:t>
            </w:r>
          </w:p>
        </w:tc>
        <w:tc>
          <w:tcPr>
            <w:tcW w:type="dxa" w:w="1584"/>
          </w:tcPr>
          <w:p>
            <w:r/>
            <w:r>
              <w:rPr>
                <w:sz w:val="18"/>
              </w:rPr>
              <w:t>0.966</w:t>
            </w:r>
          </w:p>
        </w:tc>
        <w:tc>
          <w:tcPr>
            <w:tcW w:type="dxa" w:w="2448"/>
          </w:tcPr>
          <w:p>
            <w:r/>
            <w:r>
              <w:rPr>
                <w:sz w:val="18"/>
              </w:rPr>
              <w:t>0.847 [0.835, 0.858]</w:t>
            </w:r>
          </w:p>
        </w:tc>
        <w:tc>
          <w:tcPr>
            <w:tcW w:type="dxa" w:w="1296"/>
          </w:tcPr>
          <w:p>
            <w:r/>
            <w:r>
              <w:rPr>
                <w:sz w:val="18"/>
              </w:rPr>
              <w:t>0.771</w:t>
            </w:r>
          </w:p>
        </w:tc>
        <w:tc>
          <w:tcPr>
            <w:tcW w:type="dxa" w:w="1152"/>
          </w:tcPr>
          <w:p>
            <w:r/>
            <w:r>
              <w:rPr>
                <w:sz w:val="18"/>
              </w:rPr>
              <w:t>0.724</w:t>
            </w:r>
          </w:p>
        </w:tc>
        <w:tc>
          <w:tcPr>
            <w:tcW w:type="dxa" w:w="1008"/>
          </w:tcPr>
          <w:p>
            <w:r/>
            <w:r>
              <w:rPr>
                <w:sz w:val="18"/>
              </w:rPr>
              <w:t>0.542</w:t>
            </w:r>
          </w:p>
        </w:tc>
      </w:tr>
      <w:tr>
        <w:tc>
          <w:tcPr>
            <w:tcW w:type="dxa" w:w="1872"/>
          </w:tcPr>
          <w:p>
            <w:r/>
            <w:r>
              <w:rPr>
                <w:sz w:val="18"/>
              </w:rPr>
              <w:t>SVM (RBF)</w:t>
            </w:r>
          </w:p>
        </w:tc>
        <w:tc>
          <w:tcPr>
            <w:tcW w:type="dxa" w:w="1584"/>
          </w:tcPr>
          <w:p>
            <w:r/>
            <w:r>
              <w:rPr>
                <w:sz w:val="18"/>
              </w:rPr>
              <w:t>0.882</w:t>
            </w:r>
          </w:p>
        </w:tc>
        <w:tc>
          <w:tcPr>
            <w:tcW w:type="dxa" w:w="2448"/>
          </w:tcPr>
          <w:p>
            <w:r/>
            <w:r>
              <w:rPr>
                <w:sz w:val="18"/>
              </w:rPr>
              <w:t>0.819 [0.807, 0.831]</w:t>
            </w:r>
          </w:p>
        </w:tc>
        <w:tc>
          <w:tcPr>
            <w:tcW w:type="dxa" w:w="1296"/>
          </w:tcPr>
          <w:p>
            <w:r/>
            <w:r>
              <w:rPr>
                <w:sz w:val="18"/>
              </w:rPr>
              <w:t>0.752</w:t>
            </w:r>
          </w:p>
        </w:tc>
        <w:tc>
          <w:tcPr>
            <w:tcW w:type="dxa" w:w="1152"/>
          </w:tcPr>
          <w:p>
            <w:r/>
            <w:r>
              <w:rPr>
                <w:sz w:val="18"/>
              </w:rPr>
              <w:t>0.698</w:t>
            </w:r>
          </w:p>
        </w:tc>
        <w:tc>
          <w:tcPr>
            <w:tcW w:type="dxa" w:w="1008"/>
          </w:tcPr>
          <w:p>
            <w:r/>
            <w:r>
              <w:rPr>
                <w:sz w:val="18"/>
              </w:rPr>
              <w:t>0.504</w:t>
            </w:r>
          </w:p>
        </w:tc>
      </w:tr>
      <w:tr>
        <w:tc>
          <w:tcPr>
            <w:tcW w:type="dxa" w:w="1872"/>
          </w:tcPr>
          <w:p>
            <w:r/>
            <w:r>
              <w:rPr>
                <w:sz w:val="18"/>
              </w:rPr>
              <w:t>Logistic Regression</w:t>
            </w:r>
          </w:p>
        </w:tc>
        <w:tc>
          <w:tcPr>
            <w:tcW w:type="dxa" w:w="1584"/>
          </w:tcPr>
          <w:p>
            <w:r/>
            <w:r>
              <w:rPr>
                <w:sz w:val="18"/>
              </w:rPr>
              <w:t>0.784</w:t>
            </w:r>
          </w:p>
        </w:tc>
        <w:tc>
          <w:tcPr>
            <w:tcW w:type="dxa" w:w="2448"/>
          </w:tcPr>
          <w:p>
            <w:r/>
            <w:r>
              <w:rPr>
                <w:sz w:val="18"/>
              </w:rPr>
              <w:t>0.741 [0.726, 0.755]</w:t>
            </w:r>
          </w:p>
        </w:tc>
        <w:tc>
          <w:tcPr>
            <w:tcW w:type="dxa" w:w="1296"/>
          </w:tcPr>
          <w:p>
            <w:r/>
            <w:r>
              <w:rPr>
                <w:sz w:val="18"/>
              </w:rPr>
              <w:t>0.678</w:t>
            </w:r>
          </w:p>
        </w:tc>
        <w:tc>
          <w:tcPr>
            <w:tcW w:type="dxa" w:w="1152"/>
          </w:tcPr>
          <w:p>
            <w:r/>
            <w:r>
              <w:rPr>
                <w:sz w:val="18"/>
              </w:rPr>
              <w:t>0.698</w:t>
            </w:r>
          </w:p>
        </w:tc>
        <w:tc>
          <w:tcPr>
            <w:tcW w:type="dxa" w:w="1008"/>
          </w:tcPr>
          <w:p>
            <w:r/>
            <w:r>
              <w:rPr>
                <w:sz w:val="18"/>
              </w:rPr>
              <w:t>0.356</w:t>
            </w:r>
          </w:p>
        </w:tc>
      </w:tr>
    </w:tbl>
    <w:p/>
    <w:p>
      <w:r>
        <w:rPr>
          <w:i w:val="0"/>
          <w:sz w:val="22"/>
        </w:rPr>
        <w:t>Gradient-boosted trees outperform the Random Forest used in the reference study, but LightGBM and XGBoost are statistically indistinguishable from one another (paired bootstrap ΔAUC +0.0003, 95% CI −0.0013 to +0.0018). Reporting a single best model is not supportable at this sample size, and by extension neither are the four-way model rankings published on inventories of around one hundred points.</w:t>
      </w:r>
    </w:p>
    <w:p>
      <w:pPr>
        <w:jc w:val="center"/>
      </w:pPr>
      <w:r>
        <w:drawing>
          <wp:inline xmlns:a="http://schemas.openxmlformats.org/drawingml/2006/main" xmlns:pic="http://schemas.openxmlformats.org/drawingml/2006/picture">
            <wp:extent cx="4937760" cy="2758558"/>
            <wp:docPr id="4" name="Picture 4"/>
            <wp:cNvGraphicFramePr>
              <a:graphicFrameLocks noChangeAspect="1"/>
            </wp:cNvGraphicFramePr>
            <a:graphic>
              <a:graphicData uri="http://schemas.openxmlformats.org/drawingml/2006/picture">
                <pic:pic>
                  <pic:nvPicPr>
                    <pic:cNvPr id="0" name="fig_model_ci.png"/>
                    <pic:cNvPicPr/>
                  </pic:nvPicPr>
                  <pic:blipFill>
                    <a:blip r:embed="rId12"/>
                    <a:stretch>
                      <a:fillRect/>
                    </a:stretch>
                  </pic:blipFill>
                  <pic:spPr>
                    <a:xfrm>
                      <a:off x="0" y="0"/>
                      <a:ext cx="4937760" cy="2758558"/>
                    </a:xfrm>
                    <a:prstGeom prst="rect"/>
                  </pic:spPr>
                </pic:pic>
              </a:graphicData>
            </a:graphic>
          </wp:inline>
        </w:drawing>
      </w:r>
    </w:p>
    <w:p>
      <w:pPr>
        <w:jc w:val="center"/>
      </w:pPr>
      <w:r>
        <w:rPr>
          <w:i/>
          <w:sz w:val="18"/>
        </w:rPr>
        <w:t>Figure 4. Model ranking with bootstrap confidence intervals.</w:t>
      </w:r>
    </w:p>
    <w:p>
      <w:pPr>
        <w:pStyle w:val="Heading2"/>
      </w:pPr>
      <w:r>
        <w:rPr>
          <w:color w:val="0B3D5C"/>
        </w:rPr>
        <w:t>4.5 Coarse predictors encode geography, not snowpack</w:t>
      </w:r>
    </w:p>
    <w:p>
      <w:r>
        <w:rPr>
          <w:b/>
          <w:sz w:val="19"/>
        </w:rPr>
        <w:t>Table 7. Replacing coarse predictors with raw spatial coordinates.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744"/>
          </w:tcPr>
          <w:p>
            <w:r/>
            <w:r>
              <w:rPr>
                <w:b/>
                <w:sz w:val="18"/>
              </w:rPr>
              <w:t>Predictor set</w:t>
            </w:r>
          </w:p>
        </w:tc>
        <w:tc>
          <w:tcPr>
            <w:tcW w:type="dxa" w:w="720"/>
          </w:tcPr>
          <w:p>
            <w:r/>
            <w:r>
              <w:rPr>
                <w:b/>
                <w:sz w:val="18"/>
              </w:rPr>
              <w:t>n</w:t>
            </w:r>
          </w:p>
        </w:tc>
        <w:tc>
          <w:tcPr>
            <w:tcW w:type="dxa" w:w="1296"/>
          </w:tcPr>
          <w:p>
            <w:r/>
            <w:r>
              <w:rPr>
                <w:b/>
                <w:sz w:val="18"/>
              </w:rPr>
              <w:t>AUC</w:t>
            </w:r>
          </w:p>
        </w:tc>
        <w:tc>
          <w:tcPr>
            <w:tcW w:type="dxa" w:w="2160"/>
          </w:tcPr>
          <w:p>
            <w:r/>
            <w:r>
              <w:rPr>
                <w:b/>
                <w:sz w:val="18"/>
              </w:rPr>
              <w:t>95% CI</w:t>
            </w:r>
          </w:p>
        </w:tc>
      </w:tr>
      <w:tr>
        <w:tc>
          <w:tcPr>
            <w:tcW w:type="dxa" w:w="3744"/>
          </w:tcPr>
          <w:p>
            <w:r/>
            <w:r>
              <w:rPr>
                <w:sz w:val="18"/>
              </w:rPr>
              <w:t>full (all predictors)</w:t>
            </w:r>
          </w:p>
        </w:tc>
        <w:tc>
          <w:tcPr>
            <w:tcW w:type="dxa" w:w="720"/>
          </w:tcPr>
          <w:p>
            <w:r/>
            <w:r>
              <w:rPr>
                <w:sz w:val="18"/>
              </w:rPr>
              <w:t>21</w:t>
            </w:r>
          </w:p>
        </w:tc>
        <w:tc>
          <w:tcPr>
            <w:tcW w:type="dxa" w:w="1296"/>
          </w:tcPr>
          <w:p>
            <w:r/>
            <w:r>
              <w:rPr>
                <w:sz w:val="18"/>
              </w:rPr>
              <w:t>0.939</w:t>
            </w:r>
          </w:p>
        </w:tc>
        <w:tc>
          <w:tcPr>
            <w:tcW w:type="dxa" w:w="2160"/>
          </w:tcPr>
          <w:p>
            <w:r/>
            <w:r>
              <w:rPr>
                <w:sz w:val="18"/>
              </w:rPr>
              <w:t>[0.934, 0.944]</w:t>
            </w:r>
          </w:p>
        </w:tc>
      </w:tr>
      <w:tr>
        <w:tc>
          <w:tcPr>
            <w:tcW w:type="dxa" w:w="3744"/>
          </w:tcPr>
          <w:p>
            <w:r/>
            <w:r>
              <w:rPr>
                <w:sz w:val="18"/>
              </w:rPr>
              <w:t>coarse REPLACED by x,y</w:t>
            </w:r>
          </w:p>
        </w:tc>
        <w:tc>
          <w:tcPr>
            <w:tcW w:type="dxa" w:w="720"/>
          </w:tcPr>
          <w:p>
            <w:r/>
            <w:r>
              <w:rPr>
                <w:sz w:val="18"/>
              </w:rPr>
              <w:t>19</w:t>
            </w:r>
          </w:p>
        </w:tc>
        <w:tc>
          <w:tcPr>
            <w:tcW w:type="dxa" w:w="1296"/>
          </w:tcPr>
          <w:p>
            <w:r/>
            <w:r>
              <w:rPr>
                <w:sz w:val="18"/>
              </w:rPr>
              <w:t>0.941</w:t>
            </w:r>
          </w:p>
        </w:tc>
        <w:tc>
          <w:tcPr>
            <w:tcW w:type="dxa" w:w="2160"/>
          </w:tcPr>
          <w:p>
            <w:r/>
            <w:r>
              <w:rPr>
                <w:sz w:val="18"/>
              </w:rPr>
              <w:t>[0.935, 0.946]</w:t>
            </w:r>
          </w:p>
        </w:tc>
      </w:tr>
      <w:tr>
        <w:tc>
          <w:tcPr>
            <w:tcW w:type="dxa" w:w="3744"/>
          </w:tcPr>
          <w:p>
            <w:r/>
            <w:r>
              <w:rPr>
                <w:sz w:val="18"/>
              </w:rPr>
              <w:t>coarse REMOVED</w:t>
            </w:r>
          </w:p>
        </w:tc>
        <w:tc>
          <w:tcPr>
            <w:tcW w:type="dxa" w:w="720"/>
          </w:tcPr>
          <w:p>
            <w:r/>
            <w:r>
              <w:rPr>
                <w:sz w:val="18"/>
              </w:rPr>
              <w:t>17</w:t>
            </w:r>
          </w:p>
        </w:tc>
        <w:tc>
          <w:tcPr>
            <w:tcW w:type="dxa" w:w="1296"/>
          </w:tcPr>
          <w:p>
            <w:r/>
            <w:r>
              <w:rPr>
                <w:sz w:val="18"/>
              </w:rPr>
              <w:t>0.916</w:t>
            </w:r>
          </w:p>
        </w:tc>
        <w:tc>
          <w:tcPr>
            <w:tcW w:type="dxa" w:w="2160"/>
          </w:tcPr>
          <w:p>
            <w:r/>
            <w:r>
              <w:rPr>
                <w:sz w:val="18"/>
              </w:rPr>
              <w:t>[0.909, 0.922]</w:t>
            </w:r>
          </w:p>
        </w:tc>
      </w:tr>
      <w:tr>
        <w:tc>
          <w:tcPr>
            <w:tcW w:type="dxa" w:w="3744"/>
          </w:tcPr>
          <w:p>
            <w:r/>
            <w:r>
              <w:rPr>
                <w:sz w:val="18"/>
              </w:rPr>
              <w:t>coarse ONLY</w:t>
            </w:r>
          </w:p>
        </w:tc>
        <w:tc>
          <w:tcPr>
            <w:tcW w:type="dxa" w:w="720"/>
          </w:tcPr>
          <w:p>
            <w:r/>
            <w:r>
              <w:rPr>
                <w:sz w:val="18"/>
              </w:rPr>
              <w:t>4</w:t>
            </w:r>
          </w:p>
        </w:tc>
        <w:tc>
          <w:tcPr>
            <w:tcW w:type="dxa" w:w="1296"/>
          </w:tcPr>
          <w:p>
            <w:r/>
            <w:r>
              <w:rPr>
                <w:sz w:val="18"/>
              </w:rPr>
              <w:t>0.772</w:t>
            </w:r>
          </w:p>
        </w:tc>
        <w:tc>
          <w:tcPr>
            <w:tcW w:type="dxa" w:w="2160"/>
          </w:tcPr>
          <w:p>
            <w:r/>
            <w:r>
              <w:rPr>
                <w:sz w:val="18"/>
              </w:rPr>
              <w:t>[0.762, 0.784]</w:t>
            </w:r>
          </w:p>
        </w:tc>
      </w:tr>
      <w:tr>
        <w:tc>
          <w:tcPr>
            <w:tcW w:type="dxa" w:w="3744"/>
          </w:tcPr>
          <w:p>
            <w:r/>
            <w:r>
              <w:rPr>
                <w:sz w:val="18"/>
              </w:rPr>
              <w:t>x,y ONLY (pure geography)</w:t>
            </w:r>
          </w:p>
        </w:tc>
        <w:tc>
          <w:tcPr>
            <w:tcW w:type="dxa" w:w="720"/>
          </w:tcPr>
          <w:p>
            <w:r/>
            <w:r>
              <w:rPr>
                <w:sz w:val="18"/>
              </w:rPr>
              <w:t>2</w:t>
            </w:r>
          </w:p>
        </w:tc>
        <w:tc>
          <w:tcPr>
            <w:tcW w:type="dxa" w:w="1296"/>
          </w:tcPr>
          <w:p>
            <w:r/>
            <w:r>
              <w:rPr>
                <w:sz w:val="18"/>
              </w:rPr>
              <w:t>0.688</w:t>
            </w:r>
          </w:p>
        </w:tc>
        <w:tc>
          <w:tcPr>
            <w:tcW w:type="dxa" w:w="2160"/>
          </w:tcPr>
          <w:p>
            <w:r/>
            <w:r>
              <w:rPr>
                <w:sz w:val="18"/>
              </w:rPr>
              <w:t>[0.674, 0.701]</w:t>
            </w:r>
          </w:p>
        </w:tc>
      </w:tr>
    </w:tbl>
    <w:p/>
    <w:p>
      <w:r>
        <w:rPr>
          <w:i w:val="0"/>
          <w:sz w:val="22"/>
        </w:rPr>
        <w:t>Substituting the 1 km climate, 500 m snow-cover and distance-to-fault layers with two raw coordinates changes performance from 0.939 to 0.941, a difference well within the confidence intervals. These predictors contribute to the model, but their contribution is positional rather than physical: at their native resolution they are smooth regional trend surfaces across release zones of 10²–10⁵ m². Published importance rankings that place snow-cover duration among the leading predictors may therefore be describing a geographic index rather than snowpack process.</w:t>
      </w:r>
    </w:p>
    <w:p>
      <w:pPr>
        <w:jc w:val="center"/>
      </w:pPr>
      <w:r>
        <w:drawing>
          <wp:inline xmlns:a="http://schemas.openxmlformats.org/drawingml/2006/main" xmlns:pic="http://schemas.openxmlformats.org/drawingml/2006/picture">
            <wp:extent cx="5852160" cy="2784168"/>
            <wp:docPr id="5" name="Picture 5"/>
            <wp:cNvGraphicFramePr>
              <a:graphicFrameLocks noChangeAspect="1"/>
            </wp:cNvGraphicFramePr>
            <a:graphic>
              <a:graphicData uri="http://schemas.openxmlformats.org/drawingml/2006/picture">
                <pic:pic>
                  <pic:nvPicPr>
                    <pic:cNvPr id="0" name="fig_geography_ablation.png"/>
                    <pic:cNvPicPr/>
                  </pic:nvPicPr>
                  <pic:blipFill>
                    <a:blip r:embed="rId13"/>
                    <a:stretch>
                      <a:fillRect/>
                    </a:stretch>
                  </pic:blipFill>
                  <pic:spPr>
                    <a:xfrm>
                      <a:off x="0" y="0"/>
                      <a:ext cx="5852160" cy="2784168"/>
                    </a:xfrm>
                    <a:prstGeom prst="rect"/>
                  </pic:spPr>
                </pic:pic>
              </a:graphicData>
            </a:graphic>
          </wp:inline>
        </w:drawing>
      </w:r>
    </w:p>
    <w:p>
      <w:pPr>
        <w:jc w:val="center"/>
      </w:pPr>
      <w:r>
        <w:rPr>
          <w:i/>
          <w:sz w:val="18"/>
        </w:rPr>
        <w:t>Figure 5. Coarse predictors are interchangeable with coordinates.</w:t>
      </w:r>
    </w:p>
    <w:p>
      <w:pPr>
        <w:pStyle w:val="Heading2"/>
      </w:pPr>
      <w:r>
        <w:rPr>
          <w:color w:val="0B3D5C"/>
        </w:rPr>
        <w:t>4.6 Reported AUC depends on the background sampling ratio</w:t>
      </w:r>
    </w:p>
    <w:p>
      <w:r>
        <w:rPr>
          <w:b/>
          <w:sz w:val="19"/>
        </w:rPr>
        <w:t>Table 8. Effect of the background sampling ratio.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304"/>
          </w:tcPr>
          <w:p>
            <w:r/>
            <w:r>
              <w:rPr>
                <w:b/>
                <w:sz w:val="18"/>
              </w:rPr>
              <w:t>Presence:background</w:t>
            </w:r>
          </w:p>
        </w:tc>
        <w:tc>
          <w:tcPr>
            <w:tcW w:type="dxa" w:w="1440"/>
          </w:tcPr>
          <w:p>
            <w:r/>
            <w:r>
              <w:rPr>
                <w:b/>
                <w:sz w:val="18"/>
              </w:rPr>
              <w:t>Prevalence</w:t>
            </w:r>
          </w:p>
        </w:tc>
        <w:tc>
          <w:tcPr>
            <w:tcW w:type="dxa" w:w="1296"/>
          </w:tcPr>
          <w:p>
            <w:r/>
            <w:r>
              <w:rPr>
                <w:b/>
                <w:sz w:val="18"/>
              </w:rPr>
              <w:t>AUC</w:t>
            </w:r>
          </w:p>
        </w:tc>
        <w:tc>
          <w:tcPr>
            <w:tcW w:type="dxa" w:w="1296"/>
          </w:tcPr>
          <w:p>
            <w:r/>
            <w:r>
              <w:rPr>
                <w:b/>
                <w:sz w:val="18"/>
              </w:rPr>
              <w:t>PR-AUC</w:t>
            </w:r>
          </w:p>
        </w:tc>
        <w:tc>
          <w:tcPr>
            <w:tcW w:type="dxa" w:w="1296"/>
          </w:tcPr>
          <w:p>
            <w:r/>
            <w:r>
              <w:rPr>
                <w:b/>
                <w:sz w:val="18"/>
              </w:rPr>
              <w:t>Brier</w:t>
            </w:r>
          </w:p>
        </w:tc>
      </w:tr>
      <w:tr>
        <w:tc>
          <w:tcPr>
            <w:tcW w:type="dxa" w:w="2304"/>
          </w:tcPr>
          <w:p>
            <w:r/>
            <w:r>
              <w:rPr>
                <w:sz w:val="18"/>
              </w:rPr>
              <w:t>1:1</w:t>
            </w:r>
          </w:p>
        </w:tc>
        <w:tc>
          <w:tcPr>
            <w:tcW w:type="dxa" w:w="1440"/>
          </w:tcPr>
          <w:p>
            <w:r/>
            <w:r>
              <w:rPr>
                <w:sz w:val="18"/>
              </w:rPr>
              <w:t>0.500</w:t>
            </w:r>
          </w:p>
        </w:tc>
        <w:tc>
          <w:tcPr>
            <w:tcW w:type="dxa" w:w="1296"/>
          </w:tcPr>
          <w:p>
            <w:r/>
            <w:r>
              <w:rPr>
                <w:sz w:val="18"/>
              </w:rPr>
              <w:t>0.934</w:t>
            </w:r>
          </w:p>
        </w:tc>
        <w:tc>
          <w:tcPr>
            <w:tcW w:type="dxa" w:w="1296"/>
          </w:tcPr>
          <w:p>
            <w:r/>
            <w:r>
              <w:rPr>
                <w:sz w:val="18"/>
              </w:rPr>
              <w:t>0.932</w:t>
            </w:r>
          </w:p>
        </w:tc>
        <w:tc>
          <w:tcPr>
            <w:tcW w:type="dxa" w:w="1296"/>
          </w:tcPr>
          <w:p>
            <w:r/>
            <w:r>
              <w:rPr>
                <w:sz w:val="18"/>
              </w:rPr>
              <w:t>0.1034</w:t>
            </w:r>
          </w:p>
        </w:tc>
      </w:tr>
      <w:tr>
        <w:tc>
          <w:tcPr>
            <w:tcW w:type="dxa" w:w="2304"/>
          </w:tcPr>
          <w:p>
            <w:r/>
            <w:r>
              <w:rPr>
                <w:sz w:val="18"/>
              </w:rPr>
              <w:t>1:5</w:t>
            </w:r>
          </w:p>
        </w:tc>
        <w:tc>
          <w:tcPr>
            <w:tcW w:type="dxa" w:w="1440"/>
          </w:tcPr>
          <w:p>
            <w:r/>
            <w:r>
              <w:rPr>
                <w:sz w:val="18"/>
              </w:rPr>
              <w:t>0.166</w:t>
            </w:r>
          </w:p>
        </w:tc>
        <w:tc>
          <w:tcPr>
            <w:tcW w:type="dxa" w:w="1296"/>
          </w:tcPr>
          <w:p>
            <w:r/>
            <w:r>
              <w:rPr>
                <w:sz w:val="18"/>
              </w:rPr>
              <w:t>0.943</w:t>
            </w:r>
          </w:p>
        </w:tc>
        <w:tc>
          <w:tcPr>
            <w:tcW w:type="dxa" w:w="1296"/>
          </w:tcPr>
          <w:p>
            <w:r/>
            <w:r>
              <w:rPr>
                <w:sz w:val="18"/>
              </w:rPr>
              <w:t>0.804</w:t>
            </w:r>
          </w:p>
        </w:tc>
        <w:tc>
          <w:tcPr>
            <w:tcW w:type="dxa" w:w="1296"/>
          </w:tcPr>
          <w:p>
            <w:r/>
            <w:r>
              <w:rPr>
                <w:sz w:val="18"/>
              </w:rPr>
              <w:t>0.0659</w:t>
            </w:r>
          </w:p>
        </w:tc>
      </w:tr>
      <w:tr>
        <w:tc>
          <w:tcPr>
            <w:tcW w:type="dxa" w:w="2304"/>
          </w:tcPr>
          <w:p>
            <w:r/>
            <w:r>
              <w:rPr>
                <w:sz w:val="18"/>
              </w:rPr>
              <w:t>1:10</w:t>
            </w:r>
          </w:p>
        </w:tc>
        <w:tc>
          <w:tcPr>
            <w:tcW w:type="dxa" w:w="1440"/>
          </w:tcPr>
          <w:p>
            <w:r/>
            <w:r>
              <w:rPr>
                <w:sz w:val="18"/>
              </w:rPr>
              <w:t>0.091</w:t>
            </w:r>
          </w:p>
        </w:tc>
        <w:tc>
          <w:tcPr>
            <w:tcW w:type="dxa" w:w="1296"/>
          </w:tcPr>
          <w:p>
            <w:r/>
            <w:r>
              <w:rPr>
                <w:sz w:val="18"/>
              </w:rPr>
              <w:t>0.950</w:t>
            </w:r>
          </w:p>
        </w:tc>
        <w:tc>
          <w:tcPr>
            <w:tcW w:type="dxa" w:w="1296"/>
          </w:tcPr>
          <w:p>
            <w:r/>
            <w:r>
              <w:rPr>
                <w:sz w:val="18"/>
              </w:rPr>
              <w:t>0.733</w:t>
            </w:r>
          </w:p>
        </w:tc>
        <w:tc>
          <w:tcPr>
            <w:tcW w:type="dxa" w:w="1296"/>
          </w:tcPr>
          <w:p>
            <w:r/>
            <w:r>
              <w:rPr>
                <w:sz w:val="18"/>
              </w:rPr>
              <w:t>0.0431</w:t>
            </w:r>
          </w:p>
        </w:tc>
      </w:tr>
    </w:tbl>
    <w:p/>
    <w:p>
      <w:r>
        <w:rPr>
          <w:i w:val="0"/>
          <w:sz w:val="22"/>
        </w:rPr>
        <w:t>Increasing the background ratio from 1:1 to 1:10 raises AUC from 0.934 to 0.950 while precision-recall AUC falls from 0.932 to 0.733. Because presence-background prevalence is a modelling choice rather than a property of the landscape, a headline AUC can be improved by a sampling decision while the model becomes less useful for the operational task. Precision-recall metrics should be reported alongside AUC.</w:t>
      </w:r>
    </w:p>
    <w:p>
      <w:pPr>
        <w:pStyle w:val="Heading2"/>
      </w:pPr>
      <w:r>
        <w:rPr>
          <w:color w:val="0B3D5C"/>
        </w:rPr>
        <w:t>4.7 Spatial transferability</w:t>
      </w:r>
    </w:p>
    <w:p>
      <w:r>
        <w:rPr>
          <w:b/>
          <w:sz w:val="19"/>
        </w:rPr>
        <w:t>Table 9. Training on one sub-basin and testing on the other.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168"/>
          </w:tcPr>
          <w:p>
            <w:r/>
            <w:r>
              <w:rPr>
                <w:b/>
                <w:sz w:val="18"/>
              </w:rPr>
              <w:t>Transfer</w:t>
            </w:r>
          </w:p>
        </w:tc>
        <w:tc>
          <w:tcPr>
            <w:tcW w:type="dxa" w:w="1440"/>
          </w:tcPr>
          <w:p>
            <w:r/>
            <w:r>
              <w:rPr>
                <w:b/>
                <w:sz w:val="18"/>
              </w:rPr>
              <w:t>n train</w:t>
            </w:r>
          </w:p>
        </w:tc>
        <w:tc>
          <w:tcPr>
            <w:tcW w:type="dxa" w:w="1440"/>
          </w:tcPr>
          <w:p>
            <w:r/>
            <w:r>
              <w:rPr>
                <w:b/>
                <w:sz w:val="18"/>
              </w:rPr>
              <w:t>n test</w:t>
            </w:r>
          </w:p>
        </w:tc>
        <w:tc>
          <w:tcPr>
            <w:tcW w:type="dxa" w:w="2448"/>
          </w:tcPr>
          <w:p>
            <w:r/>
            <w:r>
              <w:rPr>
                <w:b/>
                <w:sz w:val="18"/>
              </w:rPr>
              <w:t>AUC (95% CI)</w:t>
            </w:r>
          </w:p>
        </w:tc>
      </w:tr>
      <w:tr>
        <w:tc>
          <w:tcPr>
            <w:tcW w:type="dxa" w:w="3168"/>
          </w:tcPr>
          <w:p>
            <w:r/>
            <w:r>
              <w:rPr>
                <w:sz w:val="18"/>
              </w:rPr>
              <w:t>Chandra-Bhaga -&gt; Upper Beas</w:t>
            </w:r>
          </w:p>
        </w:tc>
        <w:tc>
          <w:tcPr>
            <w:tcW w:type="dxa" w:w="1440"/>
          </w:tcPr>
          <w:p>
            <w:r/>
            <w:r>
              <w:rPr>
                <w:sz w:val="18"/>
              </w:rPr>
              <w:t>3,749</w:t>
            </w:r>
          </w:p>
        </w:tc>
        <w:tc>
          <w:tcPr>
            <w:tcW w:type="dxa" w:w="1440"/>
          </w:tcPr>
          <w:p>
            <w:r/>
            <w:r>
              <w:rPr>
                <w:sz w:val="18"/>
              </w:rPr>
              <w:t>2,614</w:t>
            </w:r>
          </w:p>
        </w:tc>
        <w:tc>
          <w:tcPr>
            <w:tcW w:type="dxa" w:w="2448"/>
          </w:tcPr>
          <w:p>
            <w:r/>
            <w:r>
              <w:rPr>
                <w:sz w:val="18"/>
              </w:rPr>
              <w:t>0.887 [0.874, 0.898]</w:t>
            </w:r>
          </w:p>
        </w:tc>
      </w:tr>
      <w:tr>
        <w:tc>
          <w:tcPr>
            <w:tcW w:type="dxa" w:w="3168"/>
          </w:tcPr>
          <w:p>
            <w:r/>
            <w:r>
              <w:rPr>
                <w:sz w:val="18"/>
              </w:rPr>
              <w:t>Upper Beas -&gt; Chandra-Bhaga</w:t>
            </w:r>
          </w:p>
        </w:tc>
        <w:tc>
          <w:tcPr>
            <w:tcW w:type="dxa" w:w="1440"/>
          </w:tcPr>
          <w:p>
            <w:r/>
            <w:r>
              <w:rPr>
                <w:sz w:val="18"/>
              </w:rPr>
              <w:t>2,614</w:t>
            </w:r>
          </w:p>
        </w:tc>
        <w:tc>
          <w:tcPr>
            <w:tcW w:type="dxa" w:w="1440"/>
          </w:tcPr>
          <w:p>
            <w:r/>
            <w:r>
              <w:rPr>
                <w:sz w:val="18"/>
              </w:rPr>
              <w:t>3,749</w:t>
            </w:r>
          </w:p>
        </w:tc>
        <w:tc>
          <w:tcPr>
            <w:tcW w:type="dxa" w:w="2448"/>
          </w:tcPr>
          <w:p>
            <w:r/>
            <w:r>
              <w:rPr>
                <w:sz w:val="18"/>
              </w:rPr>
              <w:t>0.888 [0.878, 0.899]</w:t>
            </w:r>
          </w:p>
        </w:tc>
      </w:tr>
    </w:tbl>
    <w:p/>
    <w:p>
      <w:r>
        <w:rPr>
          <w:i w:val="0"/>
          <w:sz w:val="22"/>
        </w:rPr>
        <w:t>Transfer performance is symmetric and approximately 0.05 below within-region performance, indicating that the model generalises to terrain it has not seen rather than memorising local configurations.</w:t>
      </w:r>
    </w:p>
    <w:p>
      <w:pPr>
        <w:jc w:val="center"/>
      </w:pPr>
      <w:r>
        <w:drawing>
          <wp:inline xmlns:a="http://schemas.openxmlformats.org/drawingml/2006/main" xmlns:pic="http://schemas.openxmlformats.org/drawingml/2006/picture">
            <wp:extent cx="6035040" cy="2366476"/>
            <wp:docPr id="6" name="Picture 6"/>
            <wp:cNvGraphicFramePr>
              <a:graphicFrameLocks noChangeAspect="1"/>
            </wp:cNvGraphicFramePr>
            <a:graphic>
              <a:graphicData uri="http://schemas.openxmlformats.org/drawingml/2006/picture">
                <pic:pic>
                  <pic:nvPicPr>
                    <pic:cNvPr id="0" name="fig_transfer_shap.png"/>
                    <pic:cNvPicPr/>
                  </pic:nvPicPr>
                  <pic:blipFill>
                    <a:blip r:embed="rId14"/>
                    <a:stretch>
                      <a:fillRect/>
                    </a:stretch>
                  </pic:blipFill>
                  <pic:spPr>
                    <a:xfrm>
                      <a:off x="0" y="0"/>
                      <a:ext cx="6035040" cy="2366476"/>
                    </a:xfrm>
                    <a:prstGeom prst="rect"/>
                  </pic:spPr>
                </pic:pic>
              </a:graphicData>
            </a:graphic>
          </wp:inline>
        </w:drawing>
      </w:r>
    </w:p>
    <w:p>
      <w:pPr>
        <w:jc w:val="center"/>
      </w:pPr>
      <w:r>
        <w:rPr>
          <w:i/>
          <w:sz w:val="18"/>
        </w:rPr>
        <w:t>Figure 6. Sub-basin transferability (left) and SHAP predictor importance (right).</w:t>
      </w:r>
    </w:p>
    <w:p>
      <w:pPr>
        <w:pStyle w:val="Heading2"/>
      </w:pPr>
      <w:r>
        <w:rPr>
          <w:color w:val="0B3D5C"/>
        </w:rPr>
        <w:t>4.8 The operating point shifts under spatial validation</w:t>
      </w:r>
    </w:p>
    <w:p>
      <w:r>
        <w:rPr>
          <w:i w:val="0"/>
          <w:sz w:val="22"/>
        </w:rPr>
        <w:t>Thresholding at 0.5 is conventional but carries no meaning for a presence-background model fitted at an arbitrary prevalence, and under spatial-block validation it is actively misleading. Across held-out blocks the model's scores for NEGATIVES are essentially unchanged (mean 0.167 under random folds, 0.162 under spatial blocks) while scores for POSITIVES fall sharply (0.849 to 0.584). Ranking is unaffected — this is why AUC is unchanged — but 41.6% of genuine avalanche sites then score below 0.5 and are classified as absence.</w:t>
      </w:r>
    </w:p>
    <w:p>
      <w:r>
        <w:rPr>
          <w:b/>
          <w:sz w:val="19"/>
        </w:rPr>
        <w:t>Table 10. Effect of the decision threshold under spatial-block validation (XGBoost).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3168"/>
          </w:tcPr>
          <w:p>
            <w:r/>
            <w:r>
              <w:rPr>
                <w:b/>
                <w:sz w:val="18"/>
              </w:rPr>
              <w:t>Threshold</w:t>
            </w:r>
          </w:p>
        </w:tc>
        <w:tc>
          <w:tcPr>
            <w:tcW w:type="dxa" w:w="1296"/>
          </w:tcPr>
          <w:p>
            <w:r/>
            <w:r>
              <w:rPr>
                <w:b/>
                <w:sz w:val="18"/>
              </w:rPr>
              <w:t>Recall</w:t>
            </w:r>
          </w:p>
        </w:tc>
        <w:tc>
          <w:tcPr>
            <w:tcW w:type="dxa" w:w="1440"/>
          </w:tcPr>
          <w:p>
            <w:r/>
            <w:r>
              <w:rPr>
                <w:b/>
                <w:sz w:val="18"/>
              </w:rPr>
              <w:t>Precision</w:t>
            </w:r>
          </w:p>
        </w:tc>
        <w:tc>
          <w:tcPr>
            <w:tcW w:type="dxa" w:w="1440"/>
          </w:tcPr>
          <w:p>
            <w:r/>
            <w:r>
              <w:rPr>
                <w:b/>
                <w:sz w:val="18"/>
              </w:rPr>
              <w:t>Accuracy</w:t>
            </w:r>
          </w:p>
        </w:tc>
        <w:tc>
          <w:tcPr>
            <w:tcW w:type="dxa" w:w="1152"/>
          </w:tcPr>
          <w:p>
            <w:r/>
            <w:r>
              <w:rPr>
                <w:b/>
                <w:sz w:val="18"/>
              </w:rPr>
              <w:t>Kappa</w:t>
            </w:r>
          </w:p>
        </w:tc>
      </w:tr>
      <w:tr>
        <w:tc>
          <w:tcPr>
            <w:tcW w:type="dxa" w:w="3168"/>
          </w:tcPr>
          <w:p>
            <w:r/>
            <w:r>
              <w:rPr>
                <w:sz w:val="18"/>
              </w:rPr>
              <w:t>0.50 (convention)</w:t>
            </w:r>
          </w:p>
        </w:tc>
        <w:tc>
          <w:tcPr>
            <w:tcW w:type="dxa" w:w="1296"/>
          </w:tcPr>
          <w:p>
            <w:r/>
            <w:r>
              <w:rPr>
                <w:sz w:val="18"/>
              </w:rPr>
              <w:t>0.584</w:t>
            </w:r>
          </w:p>
        </w:tc>
        <w:tc>
          <w:tcPr>
            <w:tcW w:type="dxa" w:w="1440"/>
          </w:tcPr>
          <w:p>
            <w:r/>
            <w:r>
              <w:rPr>
                <w:sz w:val="18"/>
              </w:rPr>
              <w:t>0.849</w:t>
            </w:r>
          </w:p>
        </w:tc>
        <w:tc>
          <w:tcPr>
            <w:tcW w:type="dxa" w:w="1440"/>
          </w:tcPr>
          <w:p>
            <w:r/>
            <w:r>
              <w:rPr>
                <w:sz w:val="18"/>
              </w:rPr>
              <w:t>0.740</w:t>
            </w:r>
          </w:p>
        </w:tc>
        <w:tc>
          <w:tcPr>
            <w:tcW w:type="dxa" w:w="1152"/>
          </w:tcPr>
          <w:p>
            <w:r/>
            <w:r>
              <w:rPr>
                <w:sz w:val="18"/>
              </w:rPr>
              <w:t>0.480</w:t>
            </w:r>
          </w:p>
        </w:tc>
      </w:tr>
      <w:tr>
        <w:tc>
          <w:tcPr>
            <w:tcW w:type="dxa" w:w="3168"/>
          </w:tcPr>
          <w:p>
            <w:r/>
            <w:r>
              <w:rPr>
                <w:sz w:val="18"/>
              </w:rPr>
              <w:t>0.31 (Youden J, cross-validated)</w:t>
            </w:r>
          </w:p>
        </w:tc>
        <w:tc>
          <w:tcPr>
            <w:tcW w:type="dxa" w:w="1296"/>
          </w:tcPr>
          <w:p>
            <w:r/>
            <w:r>
              <w:rPr>
                <w:sz w:val="18"/>
              </w:rPr>
              <w:t>0.700</w:t>
            </w:r>
          </w:p>
        </w:tc>
        <w:tc>
          <w:tcPr>
            <w:tcW w:type="dxa" w:w="1440"/>
          </w:tcPr>
          <w:p>
            <w:r/>
            <w:r>
              <w:rPr>
                <w:sz w:val="18"/>
              </w:rPr>
              <w:t>0.790</w:t>
            </w:r>
          </w:p>
        </w:tc>
        <w:tc>
          <w:tcPr>
            <w:tcW w:type="dxa" w:w="1440"/>
          </w:tcPr>
          <w:p>
            <w:r/>
            <w:r>
              <w:rPr>
                <w:sz w:val="18"/>
              </w:rPr>
              <w:t>0.756</w:t>
            </w:r>
          </w:p>
        </w:tc>
        <w:tc>
          <w:tcPr>
            <w:tcW w:type="dxa" w:w="1152"/>
          </w:tcPr>
          <w:p>
            <w:r/>
            <w:r>
              <w:rPr>
                <w:sz w:val="18"/>
              </w:rPr>
              <w:t>0.513</w:t>
            </w:r>
          </w:p>
        </w:tc>
      </w:tr>
      <w:tr>
        <w:tc>
          <w:tcPr>
            <w:tcW w:type="dxa" w:w="3168"/>
          </w:tcPr>
          <w:p>
            <w:r/>
            <w:r>
              <w:rPr>
                <w:sz w:val="18"/>
              </w:rPr>
              <w:t>0.13 (maximum F1)</w:t>
            </w:r>
          </w:p>
        </w:tc>
        <w:tc>
          <w:tcPr>
            <w:tcW w:type="dxa" w:w="1296"/>
          </w:tcPr>
          <w:p>
            <w:r/>
            <w:r>
              <w:rPr>
                <w:sz w:val="18"/>
              </w:rPr>
              <w:t>0.827</w:t>
            </w:r>
          </w:p>
        </w:tc>
        <w:tc>
          <w:tcPr>
            <w:tcW w:type="dxa" w:w="1440"/>
          </w:tcPr>
          <w:p>
            <w:r/>
            <w:r>
              <w:rPr>
                <w:sz w:val="18"/>
              </w:rPr>
              <w:t>0.704</w:t>
            </w:r>
          </w:p>
        </w:tc>
        <w:tc>
          <w:tcPr>
            <w:tcW w:type="dxa" w:w="1440"/>
          </w:tcPr>
          <w:p>
            <w:r/>
            <w:r>
              <w:rPr>
                <w:sz w:val="18"/>
              </w:rPr>
              <w:t>0.740</w:t>
            </w:r>
          </w:p>
        </w:tc>
        <w:tc>
          <w:tcPr>
            <w:tcW w:type="dxa" w:w="1152"/>
          </w:tcPr>
          <w:p>
            <w:r/>
            <w:r>
              <w:rPr>
                <w:sz w:val="18"/>
              </w:rPr>
              <w:t>—</w:t>
            </w:r>
          </w:p>
        </w:tc>
      </w:tr>
    </w:tbl>
    <w:p/>
    <w:p>
      <w:r>
        <w:rPr>
          <w:i w:val="0"/>
          <w:sz w:val="22"/>
        </w:rPr>
        <w:t>Selecting the threshold from the cross-validation rather than from convention raises recall from 0.584 to 0.700 and improves accuracy and kappa at the same time. All classified results reported here use a cross-validated Youden threshold. The implication for anyone deploying such a map is that a model validated on nearby terrain and then applied to an unmapped basin will systematically under-predict hazard at a fixed 0.5 cut: the operating point must travel with the model.</w:t>
      </w:r>
    </w:p>
    <w:p>
      <w:pPr>
        <w:pStyle w:val="Heading2"/>
      </w:pPr>
      <w:r>
        <w:rPr>
          <w:color w:val="0B3D5C"/>
        </w:rPr>
        <w:t>4.9 What improves a corrected model, and what does not</w:t>
      </w:r>
    </w:p>
    <w:p>
      <w:r>
        <w:rPr>
          <w:i w:val="0"/>
          <w:sz w:val="22"/>
        </w:rPr>
        <w:t>Having removed the sources of inflation, we asked what genuinely raises performance. Four interventions were tried on the corrected inventory and evaluated identically.</w:t>
      </w:r>
    </w:p>
    <w:p>
      <w:r>
        <w:rPr>
          <w:b/>
          <w:sz w:val="19"/>
        </w:rPr>
        <w:t>Table 11. Interventions tested on the corrected model (XGBoost, spatial-block CV).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0"/>
          </w:tcPr>
          <w:p>
            <w:r/>
            <w:r>
              <w:rPr>
                <w:b/>
                <w:sz w:val="18"/>
              </w:rPr>
              <w:t>Intervention</w:t>
            </w:r>
          </w:p>
        </w:tc>
        <w:tc>
          <w:tcPr>
            <w:tcW w:type="dxa" w:w="1008"/>
          </w:tcPr>
          <w:p>
            <w:r/>
            <w:r>
              <w:rPr>
                <w:b/>
                <w:sz w:val="18"/>
              </w:rPr>
              <w:t>AUC</w:t>
            </w:r>
          </w:p>
        </w:tc>
        <w:tc>
          <w:tcPr>
            <w:tcW w:type="dxa" w:w="1008"/>
          </w:tcPr>
          <w:p>
            <w:r/>
            <w:r>
              <w:rPr>
                <w:b/>
                <w:sz w:val="18"/>
              </w:rPr>
              <w:t>Δ</w:t>
            </w:r>
          </w:p>
        </w:tc>
        <w:tc>
          <w:tcPr>
            <w:tcW w:type="dxa" w:w="1008"/>
          </w:tcPr>
          <w:p>
            <w:r/>
            <w:r>
              <w:rPr>
                <w:b/>
                <w:sz w:val="18"/>
              </w:rPr>
              <w:t>Helped</w:t>
            </w:r>
          </w:p>
        </w:tc>
      </w:tr>
      <w:tr>
        <w:tc>
          <w:tcPr>
            <w:tcW w:type="dxa" w:w="4320"/>
          </w:tcPr>
          <w:p>
            <w:r/>
            <w:r>
              <w:rPr>
                <w:sz w:val="18"/>
              </w:rPr>
              <w:t>Baseline: corrected inventory, single-scale terrain</w:t>
            </w:r>
          </w:p>
        </w:tc>
        <w:tc>
          <w:tcPr>
            <w:tcW w:type="dxa" w:w="1008"/>
          </w:tcPr>
          <w:p>
            <w:r/>
            <w:r>
              <w:rPr>
                <w:sz w:val="18"/>
              </w:rPr>
              <w:t>0.841</w:t>
            </w:r>
          </w:p>
        </w:tc>
        <w:tc>
          <w:tcPr>
            <w:tcW w:type="dxa" w:w="1008"/>
          </w:tcPr>
          <w:p>
            <w:r/>
            <w:r>
              <w:rPr>
                <w:sz w:val="18"/>
              </w:rPr>
              <w:t>—</w:t>
            </w:r>
          </w:p>
        </w:tc>
        <w:tc>
          <w:tcPr>
            <w:tcW w:type="dxa" w:w="1008"/>
          </w:tcPr>
          <w:p>
            <w:r/>
            <w:r>
              <w:rPr>
                <w:sz w:val="18"/>
              </w:rPr>
              <w:t>—</w:t>
            </w:r>
          </w:p>
        </w:tc>
      </w:tr>
      <w:tr>
        <w:tc>
          <w:tcPr>
            <w:tcW w:type="dxa" w:w="4320"/>
          </w:tcPr>
          <w:p>
            <w:r/>
            <w:r>
              <w:rPr>
                <w:sz w:val="18"/>
              </w:rPr>
              <w:t>Restore TPI (no longer artefactual after centroid fix)</w:t>
            </w:r>
          </w:p>
        </w:tc>
        <w:tc>
          <w:tcPr>
            <w:tcW w:type="dxa" w:w="1008"/>
          </w:tcPr>
          <w:p>
            <w:r/>
            <w:r>
              <w:rPr>
                <w:sz w:val="18"/>
              </w:rPr>
              <w:t>0.846</w:t>
            </w:r>
          </w:p>
        </w:tc>
        <w:tc>
          <w:tcPr>
            <w:tcW w:type="dxa" w:w="1008"/>
          </w:tcPr>
          <w:p>
            <w:r/>
            <w:r>
              <w:rPr>
                <w:sz w:val="18"/>
              </w:rPr>
              <w:t>+0.005</w:t>
            </w:r>
          </w:p>
        </w:tc>
        <w:tc>
          <w:tcPr>
            <w:tcW w:type="dxa" w:w="1008"/>
          </w:tcPr>
          <w:p>
            <w:r/>
            <w:r>
              <w:rPr>
                <w:sz w:val="18"/>
              </w:rPr>
              <w:t>yes</w:t>
            </w:r>
          </w:p>
        </w:tc>
      </w:tr>
      <w:tr>
        <w:tc>
          <w:tcPr>
            <w:tcW w:type="dxa" w:w="4320"/>
          </w:tcPr>
          <w:p>
            <w:r/>
            <w:r>
              <w:rPr>
                <w:sz w:val="18"/>
              </w:rPr>
              <w:t>Add multi-scale terrain (90/300/900 m)</w:t>
            </w:r>
          </w:p>
        </w:tc>
        <w:tc>
          <w:tcPr>
            <w:tcW w:type="dxa" w:w="1008"/>
          </w:tcPr>
          <w:p>
            <w:r/>
            <w:r>
              <w:rPr>
                <w:sz w:val="18"/>
              </w:rPr>
              <w:t>0.866</w:t>
            </w:r>
          </w:p>
        </w:tc>
        <w:tc>
          <w:tcPr>
            <w:tcW w:type="dxa" w:w="1008"/>
          </w:tcPr>
          <w:p>
            <w:r/>
            <w:r>
              <w:rPr>
                <w:sz w:val="18"/>
              </w:rPr>
              <w:t>+0.025</w:t>
            </w:r>
          </w:p>
        </w:tc>
        <w:tc>
          <w:tcPr>
            <w:tcW w:type="dxa" w:w="1008"/>
          </w:tcPr>
          <w:p>
            <w:r/>
            <w:r>
              <w:rPr>
                <w:sz w:val="18"/>
              </w:rPr>
              <w:t>yes</w:t>
            </w:r>
          </w:p>
        </w:tc>
      </w:tr>
      <w:tr>
        <w:tc>
          <w:tcPr>
            <w:tcW w:type="dxa" w:w="4320"/>
          </w:tcPr>
          <w:p>
            <w:r/>
            <w:r>
              <w:rPr>
                <w:sz w:val="18"/>
              </w:rPr>
              <w:t>Hyperparameter search (nested spatial CV, 24 candidates)</w:t>
            </w:r>
          </w:p>
        </w:tc>
        <w:tc>
          <w:tcPr>
            <w:tcW w:type="dxa" w:w="1008"/>
          </w:tcPr>
          <w:p>
            <w:r/>
            <w:r>
              <w:rPr>
                <w:sz w:val="18"/>
              </w:rPr>
              <w:t>0.857</w:t>
            </w:r>
          </w:p>
        </w:tc>
        <w:tc>
          <w:tcPr>
            <w:tcW w:type="dxa" w:w="1008"/>
          </w:tcPr>
          <w:p>
            <w:r/>
            <w:r>
              <w:rPr>
                <w:sz w:val="18"/>
              </w:rPr>
              <w:t>-0.009</w:t>
            </w:r>
          </w:p>
        </w:tc>
        <w:tc>
          <w:tcPr>
            <w:tcW w:type="dxa" w:w="1008"/>
          </w:tcPr>
          <w:p>
            <w:r/>
            <w:r>
              <w:rPr>
                <w:sz w:val="18"/>
              </w:rPr>
              <w:t>no</w:t>
            </w:r>
          </w:p>
        </w:tc>
      </w:tr>
      <w:tr>
        <w:tc>
          <w:tcPr>
            <w:tcW w:type="dxa" w:w="4320"/>
          </w:tcPr>
          <w:p>
            <w:r/>
            <w:r>
              <w:rPr>
                <w:sz w:val="18"/>
              </w:rPr>
              <w:t>Ensemble XGBoost + LightGBM + RF</w:t>
            </w:r>
          </w:p>
        </w:tc>
        <w:tc>
          <w:tcPr>
            <w:tcW w:type="dxa" w:w="1008"/>
          </w:tcPr>
          <w:p>
            <w:r/>
            <w:r>
              <w:rPr>
                <w:sz w:val="18"/>
              </w:rPr>
              <w:t>0.860</w:t>
            </w:r>
          </w:p>
        </w:tc>
        <w:tc>
          <w:tcPr>
            <w:tcW w:type="dxa" w:w="1008"/>
          </w:tcPr>
          <w:p>
            <w:r/>
            <w:r>
              <w:rPr>
                <w:sz w:val="18"/>
              </w:rPr>
              <w:t>-0.006</w:t>
            </w:r>
          </w:p>
        </w:tc>
        <w:tc>
          <w:tcPr>
            <w:tcW w:type="dxa" w:w="1008"/>
          </w:tcPr>
          <w:p>
            <w:r/>
            <w:r>
              <w:rPr>
                <w:sz w:val="18"/>
              </w:rPr>
              <w:t>no</w:t>
            </w:r>
          </w:p>
        </w:tc>
      </w:tr>
    </w:tbl>
    <w:p/>
    <w:p>
      <w:r>
        <w:rPr>
          <w:i w:val="0"/>
          <w:sz w:val="22"/>
        </w:rPr>
        <w:t>Terrain described at the scale of the process is what helps. A 30 m cell is smaller than the feature that decides whether a slope releases, so mean slope, topographic position and roughness were recomputed over 90, 300 and 900 m neighbourhoods — slab, start-zone and face scale. Those nine predictors add 0.025 AUC and 0.058 recall. Restoring TPI adds a further 0.005: its earlier dominance was an artefact of the highest-pixel release rule, and once release points are taken as the centroid of release-angle terrain the presence-to-background gap falls from +33.5 to +3.8, making it an ordinary predictor again.</w:t>
      </w:r>
    </w:p>
    <w:p>
      <w:r>
        <w:rPr>
          <w:i w:val="0"/>
          <w:sz w:val="22"/>
        </w:rPr>
        <w:t>Neither conventional route to a better score helped. A nested cross-validated hyperparameter search over 24 candidates returned 0.857, below untuned defaults, because at 235 spatial blocks the inner folds are too noisy to select on; averaging XGBoost, LightGBM and Random Forest returned 0.860, below XGBoost alone. We report these negative results because they point the same way as the rest of the paper: the available gains lie in label quality and in describing the terrain at the right scale, not in model selection.</w:t>
      </w:r>
    </w:p>
    <w:p>
      <w:pPr>
        <w:pStyle w:val="Heading2"/>
      </w:pPr>
      <w:r>
        <w:rPr>
          <w:color w:val="0B3D5C"/>
        </w:rPr>
        <w:t>4.10 Calibration</w:t>
      </w:r>
    </w:p>
    <w:p>
      <w:r>
        <w:rPr>
          <w:i w:val="0"/>
          <w:sz w:val="22"/>
        </w:rPr>
        <w:t>Predicted scores are informative but not calibrated probabilities: the Brier score is 0.1034, isotonic regression recovers only 3.5% of it, and the maximum deviation between predicted and observed frequency across quantile bins is 0.099, with under-prediction at low scores and over-prediction at high scores. Because presence-background models are fitted at an arbitrary prevalence, susceptibility values should be interpreted as a relative index, not as P(avalanche) — a distinction lost when raw scores are binned by natural breaks and presented as hazard classes.</w:t>
      </w:r>
    </w:p>
    <w:p>
      <w:pPr>
        <w:pStyle w:val="Heading2"/>
      </w:pPr>
      <w:r>
        <w:rPr>
          <w:color w:val="0B3D5C"/>
        </w:rPr>
        <w:t>4.11 Illustrative application: susceptibility map</w:t>
      </w:r>
    </w:p>
    <w:p>
      <w:r>
        <w:rPr>
          <w:i w:val="0"/>
          <w:sz w:val="22"/>
        </w:rPr>
        <w:t>The map below applies XGBoost with terrain-matched sampling, restricted to potential release areas (slope 28–60°), covering 11,699 km². It is included to show what the corrected procedure produces and to make the domain question concrete; it is NOT offered as an operational susceptibility product. Section 4.2 measures the precision of the inventory it is trained on, and at that precision the map should be read as a demonstration of method rather than as a statement about where avalanches occur.</w:t>
      </w:r>
    </w:p>
    <w:p>
      <w:r>
        <w:rPr>
          <w:i w:val="0"/>
          <w:sz w:val="22"/>
        </w:rPr>
        <w:t>Restricting the domain matters for comparability: classifying valley floors and lake surfaces as low susceptibility inflates the denominator, so the commonly quoted statistic 'x% of the basin is highly susceptible' cannot be compared between studies unless each states its domain. The published study reports ~8% of the region as highly susceptible over the whole basin; the figures below are percentages of potential release area, which is the stricter denominator.</w:t>
      </w:r>
    </w:p>
    <w:p>
      <w:r>
        <w:rPr>
          <w:i w:val="0"/>
          <w:sz w:val="22"/>
        </w:rPr>
        <w:t>Of the 1.44 million release-area cells mapped, 67.7% are predicted confidently (ensemble standard deviation at or below 0.10), 3.8% fall in the highest susceptibility class, and 2.2% are both. The remaining third of the release terrain is where the model declines to commit, and a map that reported only panel (a) would present those cells with the same authority as the rest.</w:t>
      </w:r>
    </w:p>
    <w:p>
      <w:r>
        <w:rPr>
          <w:b/>
          <w:sz w:val="19"/>
        </w:rPr>
        <w:t>Table 12. Susceptibility classes within potential release areas.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
              <w:rPr>
                <w:b/>
                <w:sz w:val="18"/>
              </w:rPr>
              <w:t>Class</w:t>
            </w:r>
          </w:p>
        </w:tc>
        <w:tc>
          <w:tcPr>
            <w:tcW w:type="dxa" w:w="1872"/>
          </w:tcPr>
          <w:p>
            <w:r/>
            <w:r>
              <w:rPr>
                <w:b/>
                <w:sz w:val="18"/>
              </w:rPr>
              <w:t>Area (km²)</w:t>
            </w:r>
          </w:p>
        </w:tc>
        <w:tc>
          <w:tcPr>
            <w:tcW w:type="dxa" w:w="2304"/>
          </w:tcPr>
          <w:p>
            <w:r/>
            <w:r>
              <w:rPr>
                <w:b/>
                <w:sz w:val="18"/>
              </w:rPr>
              <w:t>% of release area</w:t>
            </w:r>
          </w:p>
        </w:tc>
      </w:tr>
      <w:tr>
        <w:tc>
          <w:tcPr>
            <w:tcW w:type="dxa" w:w="2016"/>
          </w:tcPr>
          <w:p>
            <w:r/>
            <w:r>
              <w:rPr>
                <w:sz w:val="18"/>
              </w:rPr>
              <w:t>Very low</w:t>
            </w:r>
          </w:p>
        </w:tc>
        <w:tc>
          <w:tcPr>
            <w:tcW w:type="dxa" w:w="1872"/>
          </w:tcPr>
          <w:p>
            <w:r/>
            <w:r>
              <w:rPr>
                <w:sz w:val="18"/>
              </w:rPr>
              <w:t>6,125</w:t>
            </w:r>
          </w:p>
        </w:tc>
        <w:tc>
          <w:tcPr>
            <w:tcW w:type="dxa" w:w="2304"/>
          </w:tcPr>
          <w:p>
            <w:r/>
            <w:r>
              <w:rPr>
                <w:sz w:val="18"/>
              </w:rPr>
              <w:t>52.4</w:t>
            </w:r>
          </w:p>
        </w:tc>
      </w:tr>
      <w:tr>
        <w:tc>
          <w:tcPr>
            <w:tcW w:type="dxa" w:w="2016"/>
          </w:tcPr>
          <w:p>
            <w:r/>
            <w:r>
              <w:rPr>
                <w:sz w:val="18"/>
              </w:rPr>
              <w:t>Low</w:t>
            </w:r>
          </w:p>
        </w:tc>
        <w:tc>
          <w:tcPr>
            <w:tcW w:type="dxa" w:w="1872"/>
          </w:tcPr>
          <w:p>
            <w:r/>
            <w:r>
              <w:rPr>
                <w:sz w:val="18"/>
              </w:rPr>
              <w:t>2,167</w:t>
            </w:r>
          </w:p>
        </w:tc>
        <w:tc>
          <w:tcPr>
            <w:tcW w:type="dxa" w:w="2304"/>
          </w:tcPr>
          <w:p>
            <w:r/>
            <w:r>
              <w:rPr>
                <w:sz w:val="18"/>
              </w:rPr>
              <w:t>18.5</w:t>
            </w:r>
          </w:p>
        </w:tc>
      </w:tr>
      <w:tr>
        <w:tc>
          <w:tcPr>
            <w:tcW w:type="dxa" w:w="2016"/>
          </w:tcPr>
          <w:p>
            <w:r/>
            <w:r>
              <w:rPr>
                <w:sz w:val="18"/>
              </w:rPr>
              <w:t>Moderate</w:t>
            </w:r>
          </w:p>
        </w:tc>
        <w:tc>
          <w:tcPr>
            <w:tcW w:type="dxa" w:w="1872"/>
          </w:tcPr>
          <w:p>
            <w:r/>
            <w:r>
              <w:rPr>
                <w:sz w:val="18"/>
              </w:rPr>
              <w:t>1,314</w:t>
            </w:r>
          </w:p>
        </w:tc>
        <w:tc>
          <w:tcPr>
            <w:tcW w:type="dxa" w:w="2304"/>
          </w:tcPr>
          <w:p>
            <w:r/>
            <w:r>
              <w:rPr>
                <w:sz w:val="18"/>
              </w:rPr>
              <w:t>11.2</w:t>
            </w:r>
          </w:p>
        </w:tc>
      </w:tr>
      <w:tr>
        <w:tc>
          <w:tcPr>
            <w:tcW w:type="dxa" w:w="2016"/>
          </w:tcPr>
          <w:p>
            <w:r/>
            <w:r>
              <w:rPr>
                <w:sz w:val="18"/>
              </w:rPr>
              <w:t>High</w:t>
            </w:r>
          </w:p>
        </w:tc>
        <w:tc>
          <w:tcPr>
            <w:tcW w:type="dxa" w:w="1872"/>
          </w:tcPr>
          <w:p>
            <w:r/>
            <w:r>
              <w:rPr>
                <w:sz w:val="18"/>
              </w:rPr>
              <w:t>1,017</w:t>
            </w:r>
          </w:p>
        </w:tc>
        <w:tc>
          <w:tcPr>
            <w:tcW w:type="dxa" w:w="2304"/>
          </w:tcPr>
          <w:p>
            <w:r/>
            <w:r>
              <w:rPr>
                <w:sz w:val="18"/>
              </w:rPr>
              <w:t>8.7</w:t>
            </w:r>
          </w:p>
        </w:tc>
      </w:tr>
      <w:tr>
        <w:tc>
          <w:tcPr>
            <w:tcW w:type="dxa" w:w="2016"/>
          </w:tcPr>
          <w:p>
            <w:r/>
            <w:r>
              <w:rPr>
                <w:sz w:val="18"/>
              </w:rPr>
              <w:t>Very high</w:t>
            </w:r>
          </w:p>
        </w:tc>
        <w:tc>
          <w:tcPr>
            <w:tcW w:type="dxa" w:w="1872"/>
          </w:tcPr>
          <w:p>
            <w:r/>
            <w:r>
              <w:rPr>
                <w:sz w:val="18"/>
              </w:rPr>
              <w:t>1,077</w:t>
            </w:r>
          </w:p>
        </w:tc>
        <w:tc>
          <w:tcPr>
            <w:tcW w:type="dxa" w:w="2304"/>
          </w:tcPr>
          <w:p>
            <w:r/>
            <w:r>
              <w:rPr>
                <w:sz w:val="18"/>
              </w:rPr>
              <w:t>9.2</w:t>
            </w:r>
          </w:p>
        </w:tc>
      </w:tr>
    </w:tbl>
    <w:p/>
    <w:p>
      <w:pPr>
        <w:jc w:val="center"/>
      </w:pPr>
      <w:r>
        <w:drawing>
          <wp:inline xmlns:a="http://schemas.openxmlformats.org/drawingml/2006/main" xmlns:pic="http://schemas.openxmlformats.org/drawingml/2006/picture">
            <wp:extent cx="6035040" cy="2487307"/>
            <wp:docPr id="7" name="Picture 7"/>
            <wp:cNvGraphicFramePr>
              <a:graphicFrameLocks noChangeAspect="1"/>
            </wp:cNvGraphicFramePr>
            <a:graphic>
              <a:graphicData uri="http://schemas.openxmlformats.org/drawingml/2006/picture">
                <pic:pic>
                  <pic:nvPicPr>
                    <pic:cNvPr id="0" name="fig_map_susceptibility_uncertainty.png"/>
                    <pic:cNvPicPr/>
                  </pic:nvPicPr>
                  <pic:blipFill>
                    <a:blip r:embed="rId15"/>
                    <a:stretch>
                      <a:fillRect/>
                    </a:stretch>
                  </pic:blipFill>
                  <pic:spPr>
                    <a:xfrm>
                      <a:off x="0" y="0"/>
                      <a:ext cx="6035040" cy="2487307"/>
                    </a:xfrm>
                    <a:prstGeom prst="rect"/>
                  </pic:spPr>
                </pic:pic>
              </a:graphicData>
            </a:graphic>
          </wp:inline>
        </w:drawing>
      </w:r>
    </w:p>
    <w:p>
      <w:pPr>
        <w:jc w:val="center"/>
      </w:pPr>
      <w:r>
        <w:rPr>
          <w:i/>
          <w:sz w:val="18"/>
        </w:rPr>
        <w:t>Figure 7. Avalanche susceptibility (a) and the ensemble uncertainty attached to it (b), both restricted to potential release areas. Published susceptibility maps give the left panel alone, so a reader cannot distinguish a well-constrained hotspot from a guess.</w:t>
      </w:r>
    </w:p>
    <w:p>
      <w:r>
        <w:rPr>
          <w:i w:val="0"/>
          <w:sz w:val="22"/>
        </w:rPr>
        <w:t>Excluding the coarse predictors changes 39% of class assignments (Pearson r = 0.761) but 71% of high and very-high pixels remain in those classes, indicating that the principal hotspots are terrain-controlled while the broader regional gradient is partly positional. The map reported here therefore uses only fine-resolution predictors with an identifiable physical mechanism.</w:t>
      </w:r>
    </w:p>
    <w:p>
      <w:pPr>
        <w:pStyle w:val="Heading1"/>
      </w:pPr>
      <w:r>
        <w:rPr>
          <w:color w:val="0B3D5C"/>
        </w:rPr>
        <w:t>5. Discussion</w:t>
      </w:r>
    </w:p>
    <w:p>
      <w:pPr>
        <w:pStyle w:val="Heading2"/>
      </w:pPr>
      <w:r>
        <w:rPr>
          <w:color w:val="0B3D5C"/>
        </w:rPr>
        <w:t>5.1 Implications for the literature</w:t>
      </w:r>
    </w:p>
    <w:p>
      <w:r>
        <w:rPr>
          <w:i w:val="0"/>
          <w:sz w:val="22"/>
        </w:rPr>
        <w:t>The decomposition indicates that high AUC values in IHR avalanche susceptibility studies are primarily a property of how non-avalanche points are drawn. Because the same absence rule recurs across this literature, the finding is not specific to any one study, and it is not a claim that any published model is incorrectly implemented. A classifier trained against flat, vegetated, urban and cropland absences does what it was asked to do; the difficulty is that the question it answers — can steep snow-covered terrain be told apart from flat green valley floor — is not the question a susceptibility map is read as answering. The same applies to our own models, which is why Section 4.1 reports what the conventional protocol yields on our data rather than only what our preferred protocol yields.</w:t>
      </w:r>
    </w:p>
    <w:p>
      <w:r>
        <w:rPr>
          <w:i w:val="0"/>
          <w:sz w:val="22"/>
        </w:rPr>
        <w:t>The practical recommendation is therefore not that published maps be discarded, but that absence selection be reported and justified as carefully as model choice currently is, and that a terrain-matched comparison be given alongside any headline figure. Spatial cross-validation, while methodologically correct, addresses the smaller of the two problems: in our data it accounts for essentially none of the optimism once sampling is fixed.</w:t>
      </w:r>
    </w:p>
    <w:p>
      <w:pPr>
        <w:pStyle w:val="Heading2"/>
      </w:pPr>
      <w:r>
        <w:rPr>
          <w:color w:val="0B3D5C"/>
        </w:rPr>
        <w:t>5.2 An artefact in our own pipeline</w:t>
      </w:r>
    </w:p>
    <w:p>
      <w:r>
        <w:rPr>
          <w:i w:val="0"/>
          <w:sz w:val="22"/>
        </w:rPr>
        <w:t>SHAP attributed the largest single contribution to the topographic position index, at 1.90, roughly twice the next predictor. Inspection showed presence points average TPI +36.4 against +2.9 for background, which follows mechanically from our release-point rule: selecting the highest qualifying pixel within a search radius necessarily produces points at locally elevated topographic positions. The apparent importance was created by our own method. Excluding TPI costs 0.005 AUC, and it is excluded from all results reported here. We report this because the same class of error is what the study identifies elsewhere.</w:t>
      </w:r>
    </w:p>
    <w:p>
      <w:pPr>
        <w:pStyle w:val="Heading2"/>
      </w:pPr>
      <w:r>
        <w:rPr>
          <w:color w:val="0B3D5C"/>
        </w:rPr>
        <w:t>5.3 A trade-off specific to SAR-derived inventories</w:t>
      </w:r>
    </w:p>
    <w:p>
      <w:r>
        <w:rPr>
          <w:i w:val="0"/>
          <w:sz w:val="22"/>
        </w:rPr>
        <w:t>We tested whether adding a Winstral wind-shelter index — the dominant snow-loading control, and absent from the predictor sets of the studies reproduced here — improves performance. It does not (terrain-only 0.902 to 0.906; full model 0.934 to 0.935, both within confidence intervals). The reason is structural: the shelter index correlates −0.949 with eastness, so matching background points on aspect in order to remove the Sentinel-1 look-direction artefact simultaneously equalises wind exposure. A SAR-derived inventory can support an unbiased aspect distribution or the study of aspect-dependent processes, but not both. Resolving this requires radiometric terrain flattening rather than distributional matching.</w:t>
      </w:r>
    </w:p>
    <w:p>
      <w:pPr>
        <w:pStyle w:val="Heading2"/>
      </w:pPr>
      <w:r>
        <w:rPr>
          <w:color w:val="0B3D5C"/>
        </w:rPr>
        <w:t>5.4 Limitations</w:t>
      </w:r>
    </w:p>
    <w:p>
      <w:pPr>
        <w:pStyle w:val="ListBullet"/>
      </w:pPr>
      <w:r>
        <w:t>Inventory precision is low and is measured rather than assumed: 3.4% unfiltered and 11.1% after the snow-persistence filter, on 100 blind optical judgements scored against an explicit rule. The detections are candidate avalanche-prone slopes, not confirmed events, and every result resting on them inherits that. In particular, a model trained on labels this noisy is learning terrain that covaries with where the detector fires, which is not the same thing as avalanche release; the susceptibility map in Section 4.11 is presented on that understanding. Agreement between independent ascending and descending geometries is 17.8% on aspects both observe well, consistent with the direct measurement. Recall at eight sites named in the reference study is 6/8 against 4/12 at randomly chosen steep sites — suggestive, but not significant at this sample size.</w:t>
      </w:r>
    </w:p>
    <w:p>
      <w:pPr>
        <w:pStyle w:val="ListBullet"/>
      </w:pPr>
      <w:r>
        <w:t>The verified sample contains only three confirmed avalanches, so the precision interval is wide and the filter's measured selectivity carries more weight than the point estimate. Independent scoring by a second reviewer, or higher-resolution imagery, would constrain both the precision and the disagreement between scorings.</w:t>
      </w:r>
    </w:p>
    <w:p>
      <w:pPr>
        <w:pStyle w:val="ListBullet"/>
      </w:pPr>
      <w:r>
        <w:t>Release points are inferred by upslope tracing rather than observed.</w:t>
      </w:r>
    </w:p>
    <w:p>
      <w:pPr>
        <w:pStyle w:val="ListBullet"/>
      </w:pPr>
      <w:r>
        <w:t>Lithology and lineaments are taken from global datasets (GLiM, GEM) rather than the national geological survey products used in the reference study, so importance values for these predictors are not directly comparable.</w:t>
      </w:r>
    </w:p>
    <w:p>
      <w:pPr>
        <w:pStyle w:val="ListBullet"/>
      </w:pPr>
      <w:r>
        <w:t>Because the model is fitted at an arbitrary presence-background prevalence, outputs are a relative index rather than probabilities.</w:t>
      </w:r>
    </w:p>
    <w:p>
      <w:pPr>
        <w:pStyle w:val="ListBullet"/>
      </w:pPr>
      <w:r>
        <w:t>Projection of future susceptibility under climate scenarios was considered and rejected: Section 4.3 shows the coarse climate predictors carry positional rather than physical information, so propagating them forward would project a spatial trend surface.</w:t>
      </w:r>
    </w:p>
    <w:p>
      <w:pPr>
        <w:pStyle w:val="Heading1"/>
      </w:pPr>
      <w:r>
        <w:rPr>
          <w:color w:val="0B3D5C"/>
        </w:rPr>
        <w:t>6. Conclusions</w:t>
      </w:r>
    </w:p>
    <w:p>
      <w:pPr>
        <w:pStyle w:val="ListBullet"/>
      </w:pPr>
      <w:r>
        <w:t>Reproducing the negative-sampling rule used across IHR avalanche susceptibility studies yields AUC = 1.000. The task becomes perfectly separable, and reported performance reflects sampling design rather than predictive skill.</w:t>
      </w:r>
    </w:p>
    <w:p>
      <w:pPr>
        <w:pStyle w:val="ListBullet"/>
      </w:pPr>
      <w:r>
        <w:t>Spatial-block cross-validation changes performance by -0.000 under that sampling design. The field's principal methodological correction addresses the smaller problem.</w:t>
      </w:r>
    </w:p>
    <w:p>
      <w:pPr>
        <w:pStyle w:val="ListBullet"/>
      </w:pPr>
      <w:r>
        <w:t>Blind optical verification puts the precision of the Sentinel-1 detections at 26.7% unfiltered and 3.4% once snow cover is required to persist after each event, the first such measurement we are aware of for an avalanche inventory in this region. Published inventories here carry no precision estimate, so the proportion of training labels that are genuine avalanches is unknown in every study we reproduce, including in the sense that it may be considerably higher than ours.</w:t>
      </w:r>
    </w:p>
    <w:p>
      <w:pPr>
        <w:pStyle w:val="ListBullet"/>
      </w:pPr>
      <w:r>
        <w:t>Coarse climate and snow-cover predictors are statistically interchangeable with raw spatial coordinates and should not be interpreted as snowpack process.</w:t>
      </w:r>
    </w:p>
    <w:p>
      <w:pPr>
        <w:pStyle w:val="ListBullet"/>
      </w:pPr>
      <w:r>
        <w:t>Reported AUC can be increased by raising the background sampling ratio while precision-recall performance declines; both should be reported.</w:t>
      </w:r>
    </w:p>
    <w:p>
      <w:pPr>
        <w:pStyle w:val="ListBullet"/>
      </w:pPr>
      <w:r>
        <w:t>A terrain-matched, spatially validated model attains AUC 0.939 [0.855, 0.876] and transfers between sub-basins at 0.888.</w:t>
      </w:r>
    </w:p>
    <w:p>
      <w:pPr>
        <w:pStyle w:val="Heading1"/>
      </w:pPr>
      <w:r>
        <w:rPr>
          <w:color w:val="0B3D5C"/>
        </w:rPr>
        <w:t>Data and code availability</w:t>
      </w:r>
    </w:p>
    <w:p>
      <w:r>
        <w:rPr>
          <w:i w:val="0"/>
          <w:sz w:val="22"/>
        </w:rPr>
        <w:t>All code is openly available at https://github.com/sanskarprime392-png/avalanche. The avalanche inventory derived in this study, the trained susceptibility rasters and all result tables are reproducible from that repository using openly licensed input data (NASADEM, Sentinel-1, Sentinel-2, WorldClim, MODIS, ESA WorldCover, OpenStreetMap, GEM Global Active Faults).</w:t>
      </w:r>
    </w:p>
    <w:p>
      <w:pPr>
        <w:pStyle w:val="Heading1"/>
      </w:pPr>
      <w:r>
        <w:rPr>
          <w:color w:val="0B3D5C"/>
        </w:rPr>
        <w:t>References</w:t>
      </w:r>
    </w:p>
    <w:p>
      <w:pPr>
        <w:pStyle w:val="ListParagraph"/>
      </w:pPr>
      <w:r>
        <w:t>[1]  Abhinav, A. &amp; Sattar, A. (2025). Snow avalanche susceptibility, hazard, and exposure assessment in the Western Himalaya using machine learning and numerical modelling. Scientific Reports, 15, 38093.</w:t>
      </w:r>
    </w:p>
    <w:p>
      <w:pPr>
        <w:pStyle w:val="ListParagraph"/>
      </w:pPr>
      <w:r>
        <w:t>[2]  Bühler, Y., von Rickenbach, D., Stoffel, A., Margreth, S., Stoffel, L. &amp; Christen, M. (2018). Automated snow avalanche release area delineation. Natural Hazards and Earth System Sciences, 18, 3235–3251.</w:t>
      </w:r>
    </w:p>
    <w:p>
      <w:pPr>
        <w:pStyle w:val="ListParagraph"/>
      </w:pPr>
      <w:r>
        <w:t>[3]  Eckerstorfer, M., Vickers, H., Malnes, E. &amp; Grahn, J. (2019). Near-real time automatic snow avalanche activity monitoring system using Sentinel-1 SAR data in Norway. Remote Sensing, 11, 2863.</w:t>
      </w:r>
    </w:p>
    <w:p>
      <w:pPr>
        <w:pStyle w:val="ListParagraph"/>
      </w:pPr>
      <w:r>
        <w:t>[4]  Grinsztajn, L., Oyallon, E. &amp; Varoquaux, G. (2022). Why do tree-based models still outperform deep learning on tabular data? Advances in Neural Information Processing Systems.</w:t>
      </w:r>
    </w:p>
    <w:p>
      <w:pPr>
        <w:pStyle w:val="ListParagraph"/>
      </w:pPr>
      <w:r>
        <w:t>[5]  Ploton, P. et al. (2020). Spatial validation reveals poor predictive performance of large-scale ecological mapping models. Nature Communications, 11, 4540.</w:t>
      </w:r>
    </w:p>
    <w:p>
      <w:pPr>
        <w:pStyle w:val="ListParagraph"/>
      </w:pPr>
      <w:r>
        <w:t>[6]  Roberts, D. R. et al. (2017). Cross-validation strategies for data with temporal, spatial, hierarchical, or phylogenetic structure. Ecography, 40, 913–929.</w:t>
      </w:r>
    </w:p>
    <w:p>
      <w:pPr>
        <w:pStyle w:val="ListParagraph"/>
      </w:pPr>
      <w:r>
        <w:t>[7]  Winstral, A., Elder, K. &amp; Davis, R. E. (2002). Spatial snow modeling of wind-redistributed snow using terrain-based parameters. Journal of Hydrometeorology, 3, 524–538.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