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7% (2/29); requiring snow cover to persist after each event removes two thirds of the false positives without losing any verified avalanche, raising precision to 18%.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Where reported performance comes from</w:t>
      </w:r>
    </w:p>
    <w:p>
      <w:r>
        <w:rPr>
          <w:b/>
          <w:sz w:val="19"/>
        </w:rPr>
        <w:t>Table 1.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1" name="Picture 1"/>
            <wp:cNvGraphicFramePr>
              <a:graphicFrameLocks noChangeAspect="1"/>
            </wp:cNvGraphicFramePr>
            <a:graphic>
              <a:graphicData uri="http://schemas.openxmlformats.org/drawingml/2006/picture">
                <pic:pic>
                  <pic:nvPicPr>
                    <pic:cNvPr id="0" name="fig_leakage_decomposition.png"/>
                    <pic:cNvPicPr/>
                  </pic:nvPicPr>
                  <pic:blipFill>
                    <a:blip r:embed="rId9"/>
                    <a:stretch>
                      <a:fillRect/>
                    </a:stretch>
                  </pic:blipFill>
                  <pic:spPr>
                    <a:xfrm>
                      <a:off x="0" y="0"/>
                      <a:ext cx="5486400" cy="3500387"/>
                    </a:xfrm>
                    <a:prstGeom prst="rect"/>
                  </pic:spPr>
                </pic:pic>
              </a:graphicData>
            </a:graphic>
          </wp:inline>
        </w:drawing>
      </w:r>
    </w:p>
    <w:p>
      <w:pPr>
        <w:jc w:val="center"/>
      </w:pPr>
      <w:r>
        <w:rPr>
          <w:i/>
          <w:sz w:val="18"/>
        </w:rPr>
        <w:t>Figure 1.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2.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2" name="Picture 2"/>
            <wp:cNvGraphicFramePr>
              <a:graphicFrameLocks noChangeAspect="1"/>
            </wp:cNvGraphicFramePr>
            <a:graphic>
              <a:graphicData uri="http://schemas.openxmlformats.org/drawingml/2006/picture">
                <pic:pic>
                  <pic:nvPicPr>
                    <pic:cNvPr id="0" name="fig_label_sensitivity.png"/>
                    <pic:cNvPicPr/>
                  </pic:nvPicPr>
                  <pic:blipFill>
                    <a:blip r:embed="rId10"/>
                    <a:stretch>
                      <a:fillRect/>
                    </a:stretch>
                  </pic:blipFill>
                  <pic:spPr>
                    <a:xfrm>
                      <a:off x="0" y="0"/>
                      <a:ext cx="5486400" cy="3592718"/>
                    </a:xfrm>
                    <a:prstGeom prst="rect"/>
                  </pic:spPr>
                </pic:pic>
              </a:graphicData>
            </a:graphic>
          </wp:inline>
        </w:drawing>
      </w:r>
    </w:p>
    <w:p>
      <w:pPr>
        <w:jc w:val="center"/>
      </w:pPr>
      <w:r>
        <w:rPr>
          <w:i/>
          <w:sz w:val="18"/>
        </w:rPr>
        <w:t>Figure 2. The sampling artefact is independent of inventory size and label confidence.</w:t>
      </w:r>
    </w:p>
    <w:p>
      <w:pPr>
        <w:pStyle w:val="Heading2"/>
      </w:pPr>
      <w:r>
        <w:rPr>
          <w:color w:val="0B3D5C"/>
        </w:rPr>
        <w:t>4.2 How many detections are real?</w:t>
      </w:r>
    </w:p>
    <w:p>
      <w:r>
        <w:rPr>
          <w:i w:val="0"/>
          <w:sz w:val="22"/>
        </w:rPr>
        <w:t>One hundred detections were sampled at random, twenty per month, and reviewed blind against Sentinel-2 imagery from each detection's own acquisition window; thirty-one have been judged so far. A detection counts as verified only when fresh debris appears inside the outline and the surrounding slope is unchanged between the two dates. Cases obscured by cloud are recorded as unjudgeable and excluded rather than counted as failures.</w:t>
      </w:r>
    </w:p>
    <w:p>
      <w:r>
        <w:rPr>
          <w:b/>
          <w:sz w:val="19"/>
        </w:rPr>
        <w:t>Table 8. Blind optical verification of the Sentinel-1 detections.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880"/>
          </w:tcPr>
          <w:p>
            <w:r/>
            <w:r>
              <w:rPr>
                <w:b/>
                <w:sz w:val="18"/>
              </w:rPr>
              <w:t>Inventory</w:t>
            </w:r>
          </w:p>
        </w:tc>
        <w:tc>
          <w:tcPr>
            <w:tcW w:type="dxa" w:w="1296"/>
          </w:tcPr>
          <w:p>
            <w:r/>
            <w:r>
              <w:rPr>
                <w:b/>
                <w:sz w:val="18"/>
              </w:rPr>
              <w:t>verified</w:t>
            </w:r>
          </w:p>
        </w:tc>
        <w:tc>
          <w:tcPr>
            <w:tcW w:type="dxa" w:w="1152"/>
          </w:tcPr>
          <w:p>
            <w:r/>
            <w:r>
              <w:rPr>
                <w:b/>
                <w:sz w:val="18"/>
              </w:rPr>
              <w:t>false</w:t>
            </w:r>
          </w:p>
        </w:tc>
        <w:tc>
          <w:tcPr>
            <w:tcW w:type="dxa" w:w="720"/>
          </w:tcPr>
          <w:p>
            <w:r/>
            <w:r>
              <w:rPr>
                <w:b/>
                <w:sz w:val="18"/>
              </w:rPr>
              <w:t>n</w:t>
            </w:r>
          </w:p>
        </w:tc>
        <w:tc>
          <w:tcPr>
            <w:tcW w:type="dxa" w:w="1440"/>
          </w:tcPr>
          <w:p>
            <w:r/>
            <w:r>
              <w:rPr>
                <w:b/>
                <w:sz w:val="18"/>
              </w:rPr>
              <w:t>precision</w:t>
            </w:r>
          </w:p>
        </w:tc>
        <w:tc>
          <w:tcPr>
            <w:tcW w:type="dxa" w:w="2016"/>
          </w:tcPr>
          <w:p>
            <w:r/>
            <w:r>
              <w:rPr>
                <w:b/>
                <w:sz w:val="18"/>
              </w:rPr>
              <w:t>95% CI</w:t>
            </w:r>
          </w:p>
        </w:tc>
      </w:tr>
      <w:tr>
        <w:tc>
          <w:tcPr>
            <w:tcW w:type="dxa" w:w="2880"/>
          </w:tcPr>
          <w:p>
            <w:r/>
            <w:r>
              <w:rPr>
                <w:sz w:val="18"/>
              </w:rPr>
              <w:t>unfiltered (v1)</w:t>
            </w:r>
          </w:p>
        </w:tc>
        <w:tc>
          <w:tcPr>
            <w:tcW w:type="dxa" w:w="1296"/>
          </w:tcPr>
          <w:p>
            <w:r/>
            <w:r>
              <w:rPr>
                <w:sz w:val="18"/>
              </w:rPr>
              <w:t>2</w:t>
            </w:r>
          </w:p>
        </w:tc>
        <w:tc>
          <w:tcPr>
            <w:tcW w:type="dxa" w:w="1152"/>
          </w:tcPr>
          <w:p>
            <w:r/>
            <w:r>
              <w:rPr>
                <w:sz w:val="18"/>
              </w:rPr>
              <w:t>27</w:t>
            </w:r>
          </w:p>
        </w:tc>
        <w:tc>
          <w:tcPr>
            <w:tcW w:type="dxa" w:w="720"/>
          </w:tcPr>
          <w:p>
            <w:r/>
            <w:r>
              <w:rPr>
                <w:sz w:val="18"/>
              </w:rPr>
              <w:t>29</w:t>
            </w:r>
          </w:p>
        </w:tc>
        <w:tc>
          <w:tcPr>
            <w:tcW w:type="dxa" w:w="1440"/>
          </w:tcPr>
          <w:p>
            <w:r/>
            <w:r>
              <w:rPr>
                <w:sz w:val="18"/>
              </w:rPr>
              <w:t>6.9%</w:t>
            </w:r>
          </w:p>
        </w:tc>
        <w:tc>
          <w:tcPr>
            <w:tcW w:type="dxa" w:w="2016"/>
          </w:tcPr>
          <w:p>
            <w:r/>
            <w:r>
              <w:rPr>
                <w:sz w:val="18"/>
              </w:rPr>
              <w:t>[2%, 22%]</w:t>
            </w:r>
          </w:p>
        </w:tc>
      </w:tr>
      <w:tr>
        <w:tc>
          <w:tcPr>
            <w:tcW w:type="dxa" w:w="2880"/>
          </w:tcPr>
          <w:p>
            <w:r/>
            <w:r>
              <w:rPr>
                <w:sz w:val="18"/>
              </w:rPr>
              <w:t>melt-out filtered (v2)</w:t>
            </w:r>
          </w:p>
        </w:tc>
        <w:tc>
          <w:tcPr>
            <w:tcW w:type="dxa" w:w="1296"/>
          </w:tcPr>
          <w:p>
            <w:r/>
            <w:r>
              <w:rPr>
                <w:sz w:val="18"/>
              </w:rPr>
              <w:t>2</w:t>
            </w:r>
          </w:p>
        </w:tc>
        <w:tc>
          <w:tcPr>
            <w:tcW w:type="dxa" w:w="1152"/>
          </w:tcPr>
          <w:p>
            <w:r/>
            <w:r>
              <w:rPr>
                <w:sz w:val="18"/>
              </w:rPr>
              <w:t>9</w:t>
            </w:r>
          </w:p>
        </w:tc>
        <w:tc>
          <w:tcPr>
            <w:tcW w:type="dxa" w:w="720"/>
          </w:tcPr>
          <w:p>
            <w:r/>
            <w:r>
              <w:rPr>
                <w:sz w:val="18"/>
              </w:rPr>
              <w:t>11</w:t>
            </w:r>
          </w:p>
        </w:tc>
        <w:tc>
          <w:tcPr>
            <w:tcW w:type="dxa" w:w="1440"/>
          </w:tcPr>
          <w:p>
            <w:r/>
            <w:r>
              <w:rPr>
                <w:sz w:val="18"/>
              </w:rPr>
              <w:t>18.2%</w:t>
            </w:r>
          </w:p>
        </w:tc>
        <w:tc>
          <w:tcPr>
            <w:tcW w:type="dxa" w:w="2016"/>
          </w:tcPr>
          <w:p>
            <w:r/>
            <w:r>
              <w:rPr>
                <w:sz w:val="18"/>
              </w:rPr>
              <w:t>[5%, 48%]</w:t>
            </w:r>
          </w:p>
        </w:tc>
      </w:tr>
    </w:tbl>
    <w:p/>
    <w:p>
      <w:r>
        <w:rPr>
          <w:i w:val="0"/>
          <w:sz w:val="22"/>
        </w:rPr>
        <w:t>Precision of the unfiltered detections is 6.9%. Nearly every false positive is the same failure: between the two acquisitions the whole scene changes, as snow falls across it or melts off it, and bare or wetted ground raises backscatter exactly as avalanche debris does. Contrary to our expectation this is not confined to the ablation season — verified failures include a February-to-March pair over which the snowpack disappeared completely.</w:t>
      </w:r>
    </w:p>
    <w:p>
      <w:r>
        <w:rPr>
          <w:b/>
          <w:sz w:val="19"/>
        </w:rPr>
        <w:t>Table 9.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avalanche (true positive)</w:t>
            </w:r>
          </w:p>
        </w:tc>
        <w:tc>
          <w:tcPr>
            <w:tcW w:type="dxa" w:w="864"/>
          </w:tcPr>
          <w:p>
            <w:r/>
            <w:r>
              <w:rPr>
                <w:sz w:val="18"/>
              </w:rPr>
              <w:t>2</w:t>
            </w:r>
          </w:p>
        </w:tc>
        <w:tc>
          <w:tcPr>
            <w:tcW w:type="dxa" w:w="2016"/>
          </w:tcPr>
          <w:p>
            <w:r/>
            <w:r>
              <w:rPr>
                <w:sz w:val="18"/>
              </w:rPr>
              <w:t>0</w:t>
            </w:r>
          </w:p>
        </w:tc>
        <w:tc>
          <w:tcPr>
            <w:tcW w:type="dxa" w:w="1440"/>
          </w:tcPr>
          <w:p>
            <w:r/>
            <w:r>
              <w:rPr>
                <w:sz w:val="18"/>
              </w:rPr>
              <w:t>0%</w:t>
            </w:r>
          </w:p>
        </w:tc>
      </w:tr>
      <w:tr>
        <w:tc>
          <w:tcPr>
            <w:tcW w:type="dxa" w:w="3168"/>
          </w:tcPr>
          <w:p>
            <w:r/>
            <w:r>
              <w:rPr>
                <w:sz w:val="18"/>
              </w:rPr>
              <w:t>melt-out (false positive)</w:t>
            </w:r>
          </w:p>
        </w:tc>
        <w:tc>
          <w:tcPr>
            <w:tcW w:type="dxa" w:w="864"/>
          </w:tcPr>
          <w:p>
            <w:r/>
            <w:r>
              <w:rPr>
                <w:sz w:val="18"/>
              </w:rPr>
              <w:t>27</w:t>
            </w:r>
          </w:p>
        </w:tc>
        <w:tc>
          <w:tcPr>
            <w:tcW w:type="dxa" w:w="2016"/>
          </w:tcPr>
          <w:p>
            <w:r/>
            <w:r>
              <w:rPr>
                <w:sz w:val="18"/>
              </w:rPr>
              <w:t>18</w:t>
            </w:r>
          </w:p>
        </w:tc>
        <w:tc>
          <w:tcPr>
            <w:tcW w:type="dxa" w:w="1440"/>
          </w:tcPr>
          <w:p>
            <w:r/>
            <w:r>
              <w:rPr>
                <w:sz w:val="18"/>
              </w:rPr>
              <w:t>67%</w:t>
            </w:r>
          </w:p>
        </w:tc>
      </w:tr>
      <w:tr>
        <w:tc>
          <w:tcPr>
            <w:tcW w:type="dxa" w:w="3168"/>
          </w:tcPr>
          <w:p>
            <w:r/>
            <w:r>
              <w:rPr>
                <w:sz w:val="18"/>
              </w:rPr>
              <w:t>unclear (excluded)</w:t>
            </w:r>
          </w:p>
        </w:tc>
        <w:tc>
          <w:tcPr>
            <w:tcW w:type="dxa" w:w="864"/>
          </w:tcPr>
          <w:p>
            <w:r/>
            <w:r>
              <w:rPr>
                <w:sz w:val="18"/>
              </w:rPr>
              <w:t>2</w:t>
            </w:r>
          </w:p>
        </w:tc>
        <w:tc>
          <w:tcPr>
            <w:tcW w:type="dxa" w:w="2016"/>
          </w:tcPr>
          <w:p>
            <w:r/>
            <w:r>
              <w:rPr>
                <w:sz w:val="18"/>
              </w:rPr>
              <w:t>0</w:t>
            </w:r>
          </w:p>
        </w:tc>
        <w:tc>
          <w:tcPr>
            <w:tcW w:type="dxa" w:w="1440"/>
          </w:tcPr>
          <w:p>
            <w:r/>
            <w:r>
              <w:rPr>
                <w:sz w:val="18"/>
              </w:rPr>
              <w:t>0%</w:t>
            </w:r>
          </w:p>
        </w:tc>
      </w:tr>
    </w:tbl>
    <w:p/>
    <w:p>
      <w:r>
        <w:rPr>
          <w:i w:val="0"/>
          <w:sz w:val="22"/>
        </w:rPr>
        <w:t>Requiring MODIS snow cover to persist after each event removes two thirds of the verified false positives and none of the verified avalanches, raising precision to 18.2% and shrinking the inventory from 7,055 to 2,064 events. The sample of verified avalanches is small, so the precision interval remains wide; the filter's selectivity — which failure modes it removes and which detections it preserves — is the stronger evidence, and it is the quantity a susceptibility study actually depends on.</w:t>
      </w:r>
    </w:p>
    <w:p>
      <w:r>
        <w:rPr>
          <w:i w:val="0"/>
          <w:sz w:val="22"/>
        </w:rPr>
        <w:t>We report these figures because this literature does not. Published inventories in the region are presented without a precision estimate, so the proportion of training labels that are real avalanches is unknown in every study we reproduce. Section 4.1 shows why that matters less than it appears for our central result and more than it appears for the maps built on such inventories.</w:t>
      </w:r>
    </w:p>
    <w:p>
      <w:pPr>
        <w:pStyle w:val="Heading2"/>
      </w:pPr>
      <w:r>
        <w:rPr>
          <w:color w:val="0B3D5C"/>
        </w:rPr>
        <w:t>4.3 Model comparison under honest validation</w:t>
      </w:r>
    </w:p>
    <w:p>
      <w:r>
        <w:rPr>
          <w:b/>
          <w:sz w:val="19"/>
        </w:rPr>
        <w:t>Table 3. Model performance with terrain-matched absences (20 predictors, TPI excluded).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152"/>
          </w:tcPr>
          <w:p>
            <w:r/>
            <w:r>
              <w:rPr>
                <w:b/>
                <w:sz w:val="18"/>
              </w:rPr>
              <w:t>PR-AUC</w:t>
            </w:r>
          </w:p>
        </w:tc>
        <w:tc>
          <w:tcPr>
            <w:tcW w:type="dxa" w:w="1296"/>
          </w:tcPr>
          <w:p>
            <w:r/>
            <w:r>
              <w:rPr>
                <w:b/>
                <w:sz w:val="18"/>
              </w:rPr>
              <w:t>Accuracy</w:t>
            </w:r>
          </w:p>
        </w:tc>
        <w:tc>
          <w:tcPr>
            <w:tcW w:type="dxa" w:w="1008"/>
          </w:tcPr>
          <w:p>
            <w:r/>
            <w:r>
              <w:rPr>
                <w:b/>
                <w:sz w:val="18"/>
              </w:rPr>
              <w:t>Kappa</w:t>
            </w:r>
          </w:p>
        </w:tc>
      </w:tr>
      <w:tr>
        <w:tc>
          <w:tcPr>
            <w:tcW w:type="dxa" w:w="1872"/>
          </w:tcPr>
          <w:p>
            <w:r/>
            <w:r>
              <w:rPr>
                <w:sz w:val="18"/>
              </w:rPr>
              <w:t>LightGBM</w:t>
            </w:r>
          </w:p>
        </w:tc>
        <w:tc>
          <w:tcPr>
            <w:tcW w:type="dxa" w:w="1584"/>
          </w:tcPr>
          <w:p>
            <w:r/>
            <w:r>
              <w:rPr>
                <w:sz w:val="18"/>
              </w:rPr>
              <w:t>0.952</w:t>
            </w:r>
          </w:p>
        </w:tc>
        <w:tc>
          <w:tcPr>
            <w:tcW w:type="dxa" w:w="2448"/>
          </w:tcPr>
          <w:p>
            <w:r/>
            <w:r>
              <w:rPr>
                <w:sz w:val="18"/>
              </w:rPr>
              <w:t>0.934 [0.928, 0.940]</w:t>
            </w:r>
          </w:p>
        </w:tc>
        <w:tc>
          <w:tcPr>
            <w:tcW w:type="dxa" w:w="1152"/>
          </w:tcPr>
          <w:p>
            <w:r/>
            <w:r>
              <w:rPr>
                <w:sz w:val="18"/>
              </w:rPr>
              <w:t>0.931</w:t>
            </w:r>
          </w:p>
        </w:tc>
        <w:tc>
          <w:tcPr>
            <w:tcW w:type="dxa" w:w="1296"/>
          </w:tcPr>
          <w:p>
            <w:r/>
            <w:r>
              <w:rPr>
                <w:sz w:val="18"/>
              </w:rPr>
              <w:t>0.859</w:t>
            </w:r>
          </w:p>
        </w:tc>
        <w:tc>
          <w:tcPr>
            <w:tcW w:type="dxa" w:w="1008"/>
          </w:tcPr>
          <w:p>
            <w:r/>
            <w:r>
              <w:rPr>
                <w:sz w:val="18"/>
              </w:rPr>
              <w:t>0.719</w:t>
            </w:r>
          </w:p>
        </w:tc>
      </w:tr>
      <w:tr>
        <w:tc>
          <w:tcPr>
            <w:tcW w:type="dxa" w:w="1872"/>
          </w:tcPr>
          <w:p>
            <w:r/>
            <w:r>
              <w:rPr>
                <w:sz w:val="18"/>
              </w:rPr>
              <w:t>XGBoost</w:t>
            </w:r>
          </w:p>
        </w:tc>
        <w:tc>
          <w:tcPr>
            <w:tcW w:type="dxa" w:w="1584"/>
          </w:tcPr>
          <w:p>
            <w:r/>
            <w:r>
              <w:rPr>
                <w:sz w:val="18"/>
              </w:rPr>
              <w:t>0.951</w:t>
            </w:r>
          </w:p>
        </w:tc>
        <w:tc>
          <w:tcPr>
            <w:tcW w:type="dxa" w:w="2448"/>
          </w:tcPr>
          <w:p>
            <w:r/>
            <w:r>
              <w:rPr>
                <w:sz w:val="18"/>
              </w:rPr>
              <w:t>0.934 [0.929, 0.940]</w:t>
            </w:r>
          </w:p>
        </w:tc>
        <w:tc>
          <w:tcPr>
            <w:tcW w:type="dxa" w:w="1152"/>
          </w:tcPr>
          <w:p>
            <w:r/>
            <w:r>
              <w:rPr>
                <w:sz w:val="18"/>
              </w:rPr>
              <w:t>0.932</w:t>
            </w:r>
          </w:p>
        </w:tc>
        <w:tc>
          <w:tcPr>
            <w:tcW w:type="dxa" w:w="1296"/>
          </w:tcPr>
          <w:p>
            <w:r/>
            <w:r>
              <w:rPr>
                <w:sz w:val="18"/>
              </w:rPr>
              <w:t>0.857</w:t>
            </w:r>
          </w:p>
        </w:tc>
        <w:tc>
          <w:tcPr>
            <w:tcW w:type="dxa" w:w="1008"/>
          </w:tcPr>
          <w:p>
            <w:r/>
            <w:r>
              <w:rPr>
                <w:sz w:val="18"/>
              </w:rPr>
              <w:t>0.714</w:t>
            </w:r>
          </w:p>
        </w:tc>
      </w:tr>
      <w:tr>
        <w:tc>
          <w:tcPr>
            <w:tcW w:type="dxa" w:w="1872"/>
          </w:tcPr>
          <w:p>
            <w:r/>
            <w:r>
              <w:rPr>
                <w:sz w:val="18"/>
              </w:rPr>
              <w:t>Random Forest</w:t>
            </w:r>
          </w:p>
        </w:tc>
        <w:tc>
          <w:tcPr>
            <w:tcW w:type="dxa" w:w="1584"/>
          </w:tcPr>
          <w:p>
            <w:r/>
            <w:r>
              <w:rPr>
                <w:sz w:val="18"/>
              </w:rPr>
              <w:t>0.934</w:t>
            </w:r>
          </w:p>
        </w:tc>
        <w:tc>
          <w:tcPr>
            <w:tcW w:type="dxa" w:w="2448"/>
          </w:tcPr>
          <w:p>
            <w:r/>
            <w:r>
              <w:rPr>
                <w:sz w:val="18"/>
              </w:rPr>
              <w:t>0.923 [0.917, 0.930]</w:t>
            </w:r>
          </w:p>
        </w:tc>
        <w:tc>
          <w:tcPr>
            <w:tcW w:type="dxa" w:w="1152"/>
          </w:tcPr>
          <w:p>
            <w:r/>
            <w:r>
              <w:rPr>
                <w:sz w:val="18"/>
              </w:rPr>
              <w:t>0.919</w:t>
            </w:r>
          </w:p>
        </w:tc>
        <w:tc>
          <w:tcPr>
            <w:tcW w:type="dxa" w:w="1296"/>
          </w:tcPr>
          <w:p>
            <w:r/>
            <w:r>
              <w:rPr>
                <w:sz w:val="18"/>
              </w:rPr>
              <w:t>0.846</w:t>
            </w:r>
          </w:p>
        </w:tc>
        <w:tc>
          <w:tcPr>
            <w:tcW w:type="dxa" w:w="1008"/>
          </w:tcPr>
          <w:p>
            <w:r/>
            <w:r>
              <w:rPr>
                <w:sz w:val="18"/>
              </w:rPr>
              <w:t>0.692</w:t>
            </w:r>
          </w:p>
        </w:tc>
      </w:tr>
      <w:tr>
        <w:tc>
          <w:tcPr>
            <w:tcW w:type="dxa" w:w="1872"/>
          </w:tcPr>
          <w:p>
            <w:r/>
            <w:r>
              <w:rPr>
                <w:sz w:val="18"/>
              </w:rPr>
              <w:t>SVM (RBF)</w:t>
            </w:r>
          </w:p>
        </w:tc>
        <w:tc>
          <w:tcPr>
            <w:tcW w:type="dxa" w:w="1584"/>
          </w:tcPr>
          <w:p>
            <w:r/>
            <w:r>
              <w:rPr>
                <w:sz w:val="18"/>
              </w:rPr>
              <w:t>0.926</w:t>
            </w:r>
          </w:p>
        </w:tc>
        <w:tc>
          <w:tcPr>
            <w:tcW w:type="dxa" w:w="2448"/>
          </w:tcPr>
          <w:p>
            <w:r/>
            <w:r>
              <w:rPr>
                <w:sz w:val="18"/>
              </w:rPr>
              <w:t>0.915 [0.908, 0.922]</w:t>
            </w:r>
          </w:p>
        </w:tc>
        <w:tc>
          <w:tcPr>
            <w:tcW w:type="dxa" w:w="1152"/>
          </w:tcPr>
          <w:p>
            <w:r/>
            <w:r>
              <w:rPr>
                <w:sz w:val="18"/>
              </w:rPr>
              <w:t>0.902</w:t>
            </w:r>
          </w:p>
        </w:tc>
        <w:tc>
          <w:tcPr>
            <w:tcW w:type="dxa" w:w="1296"/>
          </w:tcPr>
          <w:p>
            <w:r/>
            <w:r>
              <w:rPr>
                <w:sz w:val="18"/>
              </w:rPr>
              <w:t>0.835</w:t>
            </w:r>
          </w:p>
        </w:tc>
        <w:tc>
          <w:tcPr>
            <w:tcW w:type="dxa" w:w="1008"/>
          </w:tcPr>
          <w:p>
            <w:r/>
            <w:r>
              <w:rPr>
                <w:sz w:val="18"/>
              </w:rPr>
              <w:t>0.670</w:t>
            </w:r>
          </w:p>
        </w:tc>
      </w:tr>
      <w:tr>
        <w:tc>
          <w:tcPr>
            <w:tcW w:type="dxa" w:w="1872"/>
          </w:tcPr>
          <w:p>
            <w:r/>
            <w:r>
              <w:rPr>
                <w:sz w:val="18"/>
              </w:rPr>
              <w:t>Logistic Regression</w:t>
            </w:r>
          </w:p>
        </w:tc>
        <w:tc>
          <w:tcPr>
            <w:tcW w:type="dxa" w:w="1584"/>
          </w:tcPr>
          <w:p>
            <w:r/>
            <w:r>
              <w:rPr>
                <w:sz w:val="18"/>
              </w:rPr>
              <w:t>0.900</w:t>
            </w:r>
          </w:p>
        </w:tc>
        <w:tc>
          <w:tcPr>
            <w:tcW w:type="dxa" w:w="2448"/>
          </w:tcPr>
          <w:p>
            <w:r/>
            <w:r>
              <w:rPr>
                <w:sz w:val="18"/>
              </w:rPr>
              <w:t>0.893 [0.885, 0.900]</w:t>
            </w:r>
          </w:p>
        </w:tc>
        <w:tc>
          <w:tcPr>
            <w:tcW w:type="dxa" w:w="1152"/>
          </w:tcPr>
          <w:p>
            <w:r/>
            <w:r>
              <w:rPr>
                <w:sz w:val="18"/>
              </w:rPr>
              <w:t>0.883</w:t>
            </w:r>
          </w:p>
        </w:tc>
        <w:tc>
          <w:tcPr>
            <w:tcW w:type="dxa" w:w="1296"/>
          </w:tcPr>
          <w:p>
            <w:r/>
            <w:r>
              <w:rPr>
                <w:sz w:val="18"/>
              </w:rPr>
              <w:t>0.810</w:t>
            </w:r>
          </w:p>
        </w:tc>
        <w:tc>
          <w:tcPr>
            <w:tcW w:type="dxa" w:w="1008"/>
          </w:tcPr>
          <w:p>
            <w:r/>
            <w:r>
              <w:rPr>
                <w:sz w:val="18"/>
              </w:rPr>
              <w:t>0.619</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3" name="Picture 3"/>
            <wp:cNvGraphicFramePr>
              <a:graphicFrameLocks noChangeAspect="1"/>
            </wp:cNvGraphicFramePr>
            <a:graphic>
              <a:graphicData uri="http://schemas.openxmlformats.org/drawingml/2006/picture">
                <pic:pic>
                  <pic:nvPicPr>
                    <pic:cNvPr id="0" name="fig_model_ci.png"/>
                    <pic:cNvPicPr/>
                  </pic:nvPicPr>
                  <pic:blipFill>
                    <a:blip r:embed="rId11"/>
                    <a:stretch>
                      <a:fillRect/>
                    </a:stretch>
                  </pic:blipFill>
                  <pic:spPr>
                    <a:xfrm>
                      <a:off x="0" y="0"/>
                      <a:ext cx="4937760" cy="2758558"/>
                    </a:xfrm>
                    <a:prstGeom prst="rect"/>
                  </pic:spPr>
                </pic:pic>
              </a:graphicData>
            </a:graphic>
          </wp:inline>
        </w:drawing>
      </w:r>
    </w:p>
    <w:p>
      <w:pPr>
        <w:jc w:val="center"/>
      </w:pPr>
      <w:r>
        <w:rPr>
          <w:i/>
          <w:sz w:val="18"/>
        </w:rPr>
        <w:t>Figure 3. Model ranking with bootstrap confidence intervals.</w:t>
      </w:r>
    </w:p>
    <w:p>
      <w:pPr>
        <w:pStyle w:val="Heading2"/>
      </w:pPr>
      <w:r>
        <w:rPr>
          <w:color w:val="0B3D5C"/>
        </w:rPr>
        <w:t>4.4 Coarse predictors encode geography, not snowpack</w:t>
      </w:r>
    </w:p>
    <w:p>
      <w:r>
        <w:rPr>
          <w:b/>
          <w:sz w:val="19"/>
        </w:rPr>
        <w:t>Table 4.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4" name="Picture 4"/>
            <wp:cNvGraphicFramePr>
              <a:graphicFrameLocks noChangeAspect="1"/>
            </wp:cNvGraphicFramePr>
            <a:graphic>
              <a:graphicData uri="http://schemas.openxmlformats.org/drawingml/2006/picture">
                <pic:pic>
                  <pic:nvPicPr>
                    <pic:cNvPr id="0" name="fig_geography_ablation.png"/>
                    <pic:cNvPicPr/>
                  </pic:nvPicPr>
                  <pic:blipFill>
                    <a:blip r:embed="rId12"/>
                    <a:stretch>
                      <a:fillRect/>
                    </a:stretch>
                  </pic:blipFill>
                  <pic:spPr>
                    <a:xfrm>
                      <a:off x="0" y="0"/>
                      <a:ext cx="5852160" cy="2784168"/>
                    </a:xfrm>
                    <a:prstGeom prst="rect"/>
                  </pic:spPr>
                </pic:pic>
              </a:graphicData>
            </a:graphic>
          </wp:inline>
        </w:drawing>
      </w:r>
    </w:p>
    <w:p>
      <w:pPr>
        <w:jc w:val="center"/>
      </w:pPr>
      <w:r>
        <w:rPr>
          <w:i/>
          <w:sz w:val="18"/>
        </w:rPr>
        <w:t>Figure 4. Coarse predictors are interchangeable with coordinates.</w:t>
      </w:r>
    </w:p>
    <w:p>
      <w:pPr>
        <w:pStyle w:val="Heading2"/>
      </w:pPr>
      <w:r>
        <w:rPr>
          <w:color w:val="0B3D5C"/>
        </w:rPr>
        <w:t>4.5 Reported AUC depends on the background sampling ratio</w:t>
      </w:r>
    </w:p>
    <w:p>
      <w:r>
        <w:rPr>
          <w:b/>
          <w:sz w:val="19"/>
        </w:rPr>
        <w:t>Table 5.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4.6 Spatial transferability</w:t>
      </w:r>
    </w:p>
    <w:p>
      <w:r>
        <w:rPr>
          <w:b/>
          <w:sz w:val="19"/>
        </w:rPr>
        <w:t>Table 6.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5" name="Picture 5"/>
            <wp:cNvGraphicFramePr>
              <a:graphicFrameLocks noChangeAspect="1"/>
            </wp:cNvGraphicFramePr>
            <a:graphic>
              <a:graphicData uri="http://schemas.openxmlformats.org/drawingml/2006/picture">
                <pic:pic>
                  <pic:nvPicPr>
                    <pic:cNvPr id="0" name="fig_transfer_shap.png"/>
                    <pic:cNvPicPr/>
                  </pic:nvPicPr>
                  <pic:blipFill>
                    <a:blip r:embed="rId13"/>
                    <a:stretch>
                      <a:fillRect/>
                    </a:stretch>
                  </pic:blipFill>
                  <pic:spPr>
                    <a:xfrm>
                      <a:off x="0" y="0"/>
                      <a:ext cx="6035040" cy="2366476"/>
                    </a:xfrm>
                    <a:prstGeom prst="rect"/>
                  </pic:spPr>
                </pic:pic>
              </a:graphicData>
            </a:graphic>
          </wp:inline>
        </w:drawing>
      </w:r>
    </w:p>
    <w:p>
      <w:pPr>
        <w:jc w:val="center"/>
      </w:pPr>
      <w:r>
        <w:rPr>
          <w:i/>
          <w:sz w:val="18"/>
        </w:rPr>
        <w:t>Figure 5. Sub-basin transferability (left) and SHAP predictor importance (right).</w:t>
      </w:r>
    </w:p>
    <w:p>
      <w:pPr>
        <w:pStyle w:val="Heading2"/>
      </w:pPr>
      <w:r>
        <w:rPr>
          <w:color w:val="0B3D5C"/>
        </w:rPr>
        <w:t>4.7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4.8 Illustrative application: susceptibility map</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b/>
          <w:sz w:val="19"/>
        </w:rPr>
        <w:t>Table 7.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5852160" cy="5554980"/>
            <wp:docPr id="6" name="Picture 6"/>
            <wp:cNvGraphicFramePr>
              <a:graphicFrameLocks noChangeAspect="1"/>
            </wp:cNvGraphicFramePr>
            <a:graphic>
              <a:graphicData uri="http://schemas.openxmlformats.org/drawingml/2006/picture">
                <pic:pic>
                  <pic:nvPicPr>
                    <pic:cNvPr id="0" name="fig_susceptibility_map.png"/>
                    <pic:cNvPicPr/>
                  </pic:nvPicPr>
                  <pic:blipFill>
                    <a:blip r:embed="rId14"/>
                    <a:stretch>
                      <a:fillRect/>
                    </a:stretch>
                  </pic:blipFill>
                  <pic:spPr>
                    <a:xfrm>
                      <a:off x="0" y="0"/>
                      <a:ext cx="5852160" cy="5554980"/>
                    </a:xfrm>
                    <a:prstGeom prst="rect"/>
                  </pic:spPr>
                </pic:pic>
              </a:graphicData>
            </a:graphic>
          </wp:inline>
        </w:drawing>
      </w:r>
    </w:p>
    <w:p>
      <w:pPr>
        <w:jc w:val="center"/>
      </w:pPr>
      <w:r>
        <w:rPr>
          <w:i/>
          <w:sz w:val="18"/>
        </w:rPr>
        <w:t>Figure 6. Avalanche susceptibility across the Chandra-Bhaga and Upper Beas basins, restricted to potential release areas.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6.9% unfiltered and 18.2% after the snow-persistence filter, on 31 blind optical judgements. The detections are candidate avalanche-prone slopes, not confirmed events, and every result resting on them inherits that.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two confirmed avalanches, so the precision interval is wide and the filter's measured selectivity carries more weight than the point estimate. Completing the remaining judgements would narrow it.</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6.9% unfiltered and 18.2%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[0.929, 0.940]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