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60"/>
        <w:jc w:val="center"/>
      </w:pPr>
      <w:r>
        <w:rPr>
          <w:b/>
          <w:bCs/>
          <w:color w:val="1F3864"/>
          <w:sz w:val="46"/>
          <w:szCs w:val="46"/>
        </w:rPr>
        <w:t xml:space="preserve">DATA STORYTELLING REPORT</w:t>
      </w:r>
    </w:p>
    <w:p>
      <w:pPr>
        <w:spacing w:after="500"/>
        <w:jc w:val="center"/>
      </w:pPr>
      <w:r>
        <w:rPr>
          <w:i/>
          <w:iCs/>
          <w:color w:val="2E74B5"/>
          <w:sz w:val="27"/>
          <w:szCs w:val="27"/>
        </w:rPr>
        <w:t xml:space="preserve">Sales Data Analysis using Python and Power BI</w:t>
      </w:r>
    </w:p>
    <w:p>
      <w:pPr>
        <w:pBdr>
          <w:top w:val="single" w:color="2E74B5" w:sz="8" w:space="10"/>
        </w:pBdr>
        <w:jc w:val="center"/>
      </w:pPr>
    </w:p>
    <w:p>
      <w:pPr>
        <w:spacing w:before="800"/>
      </w:pPr>
    </w:p>
    <w:p>
      <w:pPr>
        <w:spacing w:after="100"/>
        <w:jc w:val="center"/>
      </w:pPr>
      <w:r>
        <w:rPr>
          <w:color w:val="3A3A3A"/>
          <w:sz w:val="20"/>
          <w:szCs w:val="20"/>
        </w:rPr>
        <w:t xml:space="preserve">Submitted By</w:t>
      </w:r>
    </w:p>
    <w:p>
      <w:pPr>
        <w:spacing w:after="260"/>
        <w:jc w:val="center"/>
      </w:pPr>
      <w:r>
        <w:rPr>
          <w:b/>
          <w:bCs/>
          <w:color w:val="1F3864"/>
          <w:sz w:val="26"/>
          <w:szCs w:val="26"/>
        </w:rPr>
        <w:t xml:space="preserve">Sanskriti Jain</w:t>
      </w:r>
    </w:p>
    <w:p>
      <w:pPr>
        <w:spacing w:after="100"/>
        <w:jc w:val="center"/>
      </w:pPr>
      <w:r>
        <w:rPr>
          <w:color w:val="3A3A3A"/>
          <w:sz w:val="20"/>
          <w:szCs w:val="20"/>
        </w:rPr>
        <w:t xml:space="preserve">Data Analytics Intern</w:t>
      </w:r>
    </w:p>
    <w:p>
      <w:pPr>
        <w:spacing w:after="500"/>
        <w:jc w:val="center"/>
      </w:pPr>
      <w:r>
        <w:rPr>
          <w:b/>
          <w:bCs/>
          <w:color w:val="2E74B5"/>
          <w:sz w:val="22"/>
          <w:szCs w:val="22"/>
        </w:rPr>
        <w:t xml:space="preserve">ApexPlanet Software Pvt. Ltd.</w:t>
      </w:r>
    </w:p>
    <w:p>
      <w:pPr>
        <w:spacing w:after="60"/>
        <w:jc w:val="center"/>
      </w:pPr>
      <w:r>
        <w:rPr>
          <w:color w:val="3A3A3A"/>
          <w:sz w:val="18"/>
          <w:szCs w:val="18"/>
        </w:rPr>
        <w:t xml:space="preserve">Dataset Period: January 2025 – December 2025</w:t>
      </w:r>
    </w:p>
    <w:p>
      <w:pPr>
        <w:spacing w:after="60"/>
        <w:jc w:val="center"/>
      </w:pPr>
      <w:r>
        <w:rPr>
          <w:color w:val="3A3A3A"/>
          <w:sz w:val="18"/>
          <w:szCs w:val="18"/>
        </w:rPr>
        <w:t xml:space="preserve">Tools Used: Python (Pandas, Matplotlib, Seaborn) | Power BI</w:t>
      </w:r>
    </w:p>
    <w:p>
      <w:pPr>
        <w:spacing w:before="1000"/>
        <w:jc w:val="center"/>
      </w:pPr>
      <w:r>
        <w:rPr>
          <w:i/>
          <w:iCs/>
          <w:color w:val="3A3A3A"/>
          <w:sz w:val="18"/>
          <w:szCs w:val="18"/>
        </w:rPr>
        <w:t xml:space="preserve">Final Internship Submission Report</w:t>
      </w:r>
    </w:p>
    <w:p>
      <w:r>
        <w:br w:type="page"/>
      </w:r>
    </w:p>
    <w:p>
      <w:pPr>
        <w:pStyle w:val="Heading1"/>
        <w:pBdr>
          <w:bottom w:val="single" w:color="2E74B5" w:sz="6" w:space="3"/>
        </w:pBdr>
        <w:spacing w:after="100" w:before="200"/>
      </w:pPr>
      <w:r>
        <w:rPr>
          <w:b/>
          <w:bCs/>
          <w:color w:val="1F3864"/>
          <w:sz w:val="26"/>
          <w:szCs w:val="26"/>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pPr>
        <w:spacing w:after="120"/>
      </w:pPr>
    </w:p>
    <w:p>
      <w:pPr>
        <w:pStyle w:val="Heading1"/>
        <w:pBdr>
          <w:bottom w:val="single" w:color="2E74B5" w:sz="6" w:space="3"/>
        </w:pBdr>
        <w:spacing w:after="100" w:before="200"/>
      </w:pPr>
      <w:r>
        <w:rPr>
          <w:b/>
          <w:bCs/>
          <w:color w:val="1F3864"/>
          <w:sz w:val="26"/>
          <w:szCs w:val="26"/>
        </w:rPr>
        <w:t xml:space="preserve">1. Project Objective</w:t>
      </w:r>
    </w:p>
    <w:p>
      <w:pPr>
        <w:spacing w:after="100" w:line="252"/>
        <w:jc w:val="both"/>
      </w:pPr>
      <w:r>
        <w:rPr>
          <w:color w:val="3A3A3A"/>
          <w:sz w:val="21"/>
          <w:szCs w:val="21"/>
        </w:rPr>
        <w:t xml:space="preserve">This project analyses one year (Jan–Dec 2025) of retail sales transactions to convert raw data into a decision-ready business narrative. The workflow covers data cleaning, exploratory analysis in Python, an interactive Power BI dashboard, and a set of actionable recommendations — mirroring the standard analytics process used in industry, where the value of a project lies in how well it helps a business understand its customers, products, and revenue drivers.</w:t>
      </w:r>
    </w:p>
    <w:p>
      <w:pPr>
        <w:pStyle w:val="Heading1"/>
        <w:pBdr>
          <w:bottom w:val="single" w:color="2E74B5" w:sz="6" w:space="3"/>
        </w:pBdr>
        <w:spacing w:after="100" w:before="200"/>
      </w:pPr>
      <w:r>
        <w:rPr>
          <w:b/>
          <w:bCs/>
          <w:color w:val="1F3864"/>
          <w:sz w:val="26"/>
          <w:szCs w:val="26"/>
        </w:rPr>
        <w:t xml:space="preserve">2. Dataset Overview</w:t>
      </w:r>
    </w:p>
    <w:p>
      <w:pPr>
        <w:spacing w:after="100" w:line="252"/>
        <w:jc w:val="both"/>
      </w:pPr>
      <w:r>
        <w:rPr>
          <w:color w:val="3A3A3A"/>
          <w:sz w:val="21"/>
          <w:szCs w:val="21"/>
        </w:rPr>
        <w:t xml:space="preserve">The dataset contains 1,000 order records across 12 columns, capturing order, customer, product, and revenue details for each transaction: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200"/>
      </w:tblGrid>
      <w:tr>
        <w:trPr>
          <w:tblHeader/>
        </w:trPr>
        <w:tc>
          <w:tcPr>
            <w:tcW w:type="dxa" w:w="2600"/>
            <w:shd w:fill="1F3864" w:color="auto" w:val="clear"/>
            <w:tcMar>
              <w:top w:type="dxa" w:w="60"/>
              <w:left w:type="dxa" w:w="100"/>
              <w:bottom w:type="dxa" w:w="60"/>
              <w:right w:type="dxa" w:w="100"/>
            </w:tcMar>
            <w:vAlign w:val="center"/>
          </w:tcPr>
          <w:p>
            <w:r>
              <w:rPr>
                <w:b/>
                <w:bCs/>
                <w:color w:val="FFFFFF"/>
                <w:sz w:val="17"/>
                <w:szCs w:val="17"/>
              </w:rPr>
              <w:t xml:space="preserve">Column</w:t>
            </w:r>
          </w:p>
        </w:tc>
        <w:tc>
          <w:tcPr>
            <w:tcW w:type="dxa" w:w="4800"/>
            <w:shd w:fill="1F3864" w:color="auto" w:val="clear"/>
            <w:tcMar>
              <w:top w:type="dxa" w:w="60"/>
              <w:left w:type="dxa" w:w="100"/>
              <w:bottom w:type="dxa" w:w="60"/>
              <w:right w:type="dxa" w:w="100"/>
            </w:tcMar>
            <w:vAlign w:val="center"/>
          </w:tcPr>
          <w:p>
            <w:r>
              <w:rPr>
                <w:b/>
                <w:bCs/>
                <w:color w:val="FFFFFF"/>
                <w:sz w:val="17"/>
                <w:szCs w:val="17"/>
              </w:rPr>
              <w:t xml:space="preserve">Description</w:t>
            </w:r>
          </w:p>
        </w:tc>
        <w:tc>
          <w:tcPr>
            <w:tcW w:type="dxa" w:w="2200"/>
            <w:shd w:fill="1F3864" w:color="auto" w:val="clear"/>
            <w:tcMar>
              <w:top w:type="dxa" w:w="60"/>
              <w:left w:type="dxa" w:w="100"/>
              <w:bottom w:type="dxa" w:w="60"/>
              <w:right w:type="dxa" w:w="100"/>
            </w:tcMar>
            <w:vAlign w:val="center"/>
          </w:tcPr>
          <w:p>
            <w:r>
              <w:rPr>
                <w:b/>
                <w:bCs/>
                <w:color w:val="FFFFFF"/>
                <w:sz w:val="17"/>
                <w:szCs w:val="17"/>
              </w:rPr>
              <w:t xml:space="preserve">Type</w:t>
            </w:r>
          </w:p>
        </w:tc>
      </w:tr>
      <w:tr>
        <w:tc>
          <w:tcPr>
            <w:tcW w:type="dxa" w:w="2600"/>
            <w:shd w:fill="FFFFFF" w:color="auto" w:val="clear"/>
            <w:tcMar>
              <w:top w:type="dxa" w:w="50"/>
              <w:left w:type="dxa" w:w="100"/>
              <w:bottom w:type="dxa" w:w="50"/>
              <w:right w:type="dxa" w:w="100"/>
            </w:tcMar>
            <w:vAlign w:val="center"/>
          </w:tcPr>
          <w:p>
            <w:r>
              <w:rPr>
                <w:color w:val="3A3A3A"/>
                <w:sz w:val="17"/>
                <w:szCs w:val="17"/>
              </w:rPr>
              <w:t xml:space="preserve">Order_ID / Customer_ID</w:t>
            </w:r>
          </w:p>
        </w:tc>
        <w:tc>
          <w:tcPr>
            <w:tcW w:type="dxa" w:w="4800"/>
            <w:shd w:fill="FFFFFF" w:color="auto" w:val="clear"/>
            <w:tcMar>
              <w:top w:type="dxa" w:w="50"/>
              <w:left w:type="dxa" w:w="100"/>
              <w:bottom w:type="dxa" w:w="50"/>
              <w:right w:type="dxa" w:w="100"/>
            </w:tcMar>
            <w:vAlign w:val="center"/>
          </w:tcPr>
          <w:p>
            <w:r>
              <w:rPr>
                <w:color w:val="3A3A3A"/>
                <w:sz w:val="17"/>
                <w:szCs w:val="17"/>
              </w:rPr>
              <w:t xml:space="preserve">Unique identifiers for orders and customers</w:t>
            </w:r>
          </w:p>
        </w:tc>
        <w:tc>
          <w:tcPr>
            <w:tcW w:type="dxa" w:w="2200"/>
            <w:shd w:fill="FFFFFF" w:color="auto" w:val="clear"/>
            <w:tcMar>
              <w:top w:type="dxa" w:w="50"/>
              <w:left w:type="dxa" w:w="100"/>
              <w:bottom w:type="dxa" w:w="50"/>
              <w:right w:type="dxa" w:w="100"/>
            </w:tcMar>
            <w:vAlign w:val="center"/>
          </w:tcPr>
          <w:p>
            <w:r>
              <w:rPr>
                <w:color w:val="3A3A3A"/>
                <w:sz w:val="17"/>
                <w:szCs w:val="17"/>
              </w:rPr>
              <w:t xml:space="preserve">Categorical</w:t>
            </w:r>
          </w:p>
        </w:tc>
      </w:tr>
      <w:tr>
        <w:tc>
          <w:tcPr>
            <w:tcW w:type="dxa" w:w="2600"/>
            <w:shd w:fill="F2F2F2" w:color="auto" w:val="clear"/>
            <w:tcMar>
              <w:top w:type="dxa" w:w="50"/>
              <w:left w:type="dxa" w:w="100"/>
              <w:bottom w:type="dxa" w:w="50"/>
              <w:right w:type="dxa" w:w="100"/>
            </w:tcMar>
            <w:vAlign w:val="center"/>
          </w:tcPr>
          <w:p>
            <w:r>
              <w:rPr>
                <w:color w:val="3A3A3A"/>
                <w:sz w:val="17"/>
                <w:szCs w:val="17"/>
              </w:rPr>
              <w:t xml:space="preserve">Order_Date</w:t>
            </w:r>
          </w:p>
        </w:tc>
        <w:tc>
          <w:tcPr>
            <w:tcW w:type="dxa" w:w="4800"/>
            <w:shd w:fill="F2F2F2" w:color="auto" w:val="clear"/>
            <w:tcMar>
              <w:top w:type="dxa" w:w="50"/>
              <w:left w:type="dxa" w:w="100"/>
              <w:bottom w:type="dxa" w:w="50"/>
              <w:right w:type="dxa" w:w="100"/>
            </w:tcMar>
            <w:vAlign w:val="center"/>
          </w:tcPr>
          <w:p>
            <w:r>
              <w:rPr>
                <w:color w:val="3A3A3A"/>
                <w:sz w:val="17"/>
                <w:szCs w:val="17"/>
              </w:rPr>
              <w:t xml:space="preserve">Date the order was placed</w:t>
            </w:r>
          </w:p>
        </w:tc>
        <w:tc>
          <w:tcPr>
            <w:tcW w:type="dxa" w:w="2200"/>
            <w:shd w:fill="F2F2F2" w:color="auto" w:val="clear"/>
            <w:tcMar>
              <w:top w:type="dxa" w:w="50"/>
              <w:left w:type="dxa" w:w="100"/>
              <w:bottom w:type="dxa" w:w="50"/>
              <w:right w:type="dxa" w:w="100"/>
            </w:tcMar>
            <w:vAlign w:val="center"/>
          </w:tcPr>
          <w:p>
            <w:r>
              <w:rPr>
                <w:color w:val="3A3A3A"/>
                <w:sz w:val="17"/>
                <w:szCs w:val="17"/>
              </w:rPr>
              <w:t xml:space="preserve">Date</w:t>
            </w:r>
          </w:p>
        </w:tc>
      </w:tr>
      <w:tr>
        <w:tc>
          <w:tcPr>
            <w:tcW w:type="dxa" w:w="2600"/>
            <w:shd w:fill="FFFFFF" w:color="auto" w:val="clear"/>
            <w:tcMar>
              <w:top w:type="dxa" w:w="50"/>
              <w:left w:type="dxa" w:w="100"/>
              <w:bottom w:type="dxa" w:w="50"/>
              <w:right w:type="dxa" w:w="100"/>
            </w:tcMar>
            <w:vAlign w:val="center"/>
          </w:tcPr>
          <w:p>
            <w:r>
              <w:rPr>
                <w:color w:val="3A3A3A"/>
                <w:sz w:val="17"/>
                <w:szCs w:val="17"/>
              </w:rPr>
              <w:t xml:space="preserve">Customer_Name, Age, Gender, City</w:t>
            </w:r>
          </w:p>
        </w:tc>
        <w:tc>
          <w:tcPr>
            <w:tcW w:type="dxa" w:w="4800"/>
            <w:shd w:fill="FFFFFF" w:color="auto" w:val="clear"/>
            <w:tcMar>
              <w:top w:type="dxa" w:w="50"/>
              <w:left w:type="dxa" w:w="100"/>
              <w:bottom w:type="dxa" w:w="50"/>
              <w:right w:type="dxa" w:w="100"/>
            </w:tcMar>
            <w:vAlign w:val="center"/>
          </w:tcPr>
          <w:p>
            <w:r>
              <w:rPr>
                <w:color w:val="3A3A3A"/>
                <w:sz w:val="17"/>
                <w:szCs w:val="17"/>
              </w:rPr>
              <w:t xml:space="preserve">Customer demographic details</w:t>
            </w:r>
          </w:p>
        </w:tc>
        <w:tc>
          <w:tcPr>
            <w:tcW w:type="dxa" w:w="2200"/>
            <w:shd w:fill="FFFFFF" w:color="auto" w:val="clear"/>
            <w:tcMar>
              <w:top w:type="dxa" w:w="50"/>
              <w:left w:type="dxa" w:w="100"/>
              <w:bottom w:type="dxa" w:w="50"/>
              <w:right w:type="dxa" w:w="100"/>
            </w:tcMar>
            <w:vAlign w:val="center"/>
          </w:tcPr>
          <w:p>
            <w:r>
              <w:rPr>
                <w:color w:val="3A3A3A"/>
                <w:sz w:val="17"/>
                <w:szCs w:val="17"/>
              </w:rPr>
              <w:t xml:space="preserve">Text / Numeric</w:t>
            </w:r>
          </w:p>
        </w:tc>
      </w:tr>
      <w:tr>
        <w:tc>
          <w:tcPr>
            <w:tcW w:type="dxa" w:w="2600"/>
            <w:shd w:fill="F2F2F2" w:color="auto" w:val="clear"/>
            <w:tcMar>
              <w:top w:type="dxa" w:w="50"/>
              <w:left w:type="dxa" w:w="100"/>
              <w:bottom w:type="dxa" w:w="50"/>
              <w:right w:type="dxa" w:w="100"/>
            </w:tcMar>
            <w:vAlign w:val="center"/>
          </w:tcPr>
          <w:p>
            <w:r>
              <w:rPr>
                <w:color w:val="3A3A3A"/>
                <w:sz w:val="17"/>
                <w:szCs w:val="17"/>
              </w:rPr>
              <w:t xml:space="preserve">Product, Category</w:t>
            </w:r>
          </w:p>
        </w:tc>
        <w:tc>
          <w:tcPr>
            <w:tcW w:type="dxa" w:w="4800"/>
            <w:shd w:fill="F2F2F2" w:color="auto" w:val="clear"/>
            <w:tcMar>
              <w:top w:type="dxa" w:w="50"/>
              <w:left w:type="dxa" w:w="100"/>
              <w:bottom w:type="dxa" w:w="50"/>
              <w:right w:type="dxa" w:w="100"/>
            </w:tcMar>
            <w:vAlign w:val="center"/>
          </w:tcPr>
          <w:p>
            <w:r>
              <w:rPr>
                <w:color w:val="3A3A3A"/>
                <w:sz w:val="17"/>
                <w:szCs w:val="17"/>
              </w:rPr>
              <w:t xml:space="preserve">Item purchased and its category</w:t>
            </w:r>
          </w:p>
        </w:tc>
        <w:tc>
          <w:tcPr>
            <w:tcW w:type="dxa" w:w="2200"/>
            <w:shd w:fill="F2F2F2" w:color="auto" w:val="clear"/>
            <w:tcMar>
              <w:top w:type="dxa" w:w="50"/>
              <w:left w:type="dxa" w:w="100"/>
              <w:bottom w:type="dxa" w:w="50"/>
              <w:right w:type="dxa" w:w="100"/>
            </w:tcMar>
            <w:vAlign w:val="center"/>
          </w:tcPr>
          <w:p>
            <w:r>
              <w:rPr>
                <w:color w:val="3A3A3A"/>
                <w:sz w:val="17"/>
                <w:szCs w:val="17"/>
              </w:rPr>
              <w:t xml:space="preserve">Categorical</w:t>
            </w:r>
          </w:p>
        </w:tc>
      </w:tr>
      <w:tr>
        <w:tc>
          <w:tcPr>
            <w:tcW w:type="dxa" w:w="2600"/>
            <w:shd w:fill="FFFFFF" w:color="auto" w:val="clear"/>
            <w:tcMar>
              <w:top w:type="dxa" w:w="50"/>
              <w:left w:type="dxa" w:w="100"/>
              <w:bottom w:type="dxa" w:w="50"/>
              <w:right w:type="dxa" w:w="100"/>
            </w:tcMar>
            <w:vAlign w:val="center"/>
          </w:tcPr>
          <w:p>
            <w:r>
              <w:rPr>
                <w:color w:val="3A3A3A"/>
                <w:sz w:val="17"/>
                <w:szCs w:val="17"/>
              </w:rPr>
              <w:t xml:space="preserve">Quantity, Unit_Price, Total_Sales</w:t>
            </w:r>
          </w:p>
        </w:tc>
        <w:tc>
          <w:tcPr>
            <w:tcW w:type="dxa" w:w="4800"/>
            <w:shd w:fill="FFFFFF" w:color="auto" w:val="clear"/>
            <w:tcMar>
              <w:top w:type="dxa" w:w="50"/>
              <w:left w:type="dxa" w:w="100"/>
              <w:bottom w:type="dxa" w:w="50"/>
              <w:right w:type="dxa" w:w="100"/>
            </w:tcMar>
            <w:vAlign w:val="center"/>
          </w:tcPr>
          <w:p>
            <w:r>
              <w:rPr>
                <w:color w:val="3A3A3A"/>
                <w:sz w:val="17"/>
                <w:szCs w:val="17"/>
              </w:rPr>
              <w:t xml:space="preserve">Order size and revenue figures</w:t>
            </w:r>
          </w:p>
        </w:tc>
        <w:tc>
          <w:tcPr>
            <w:tcW w:type="dxa" w:w="2200"/>
            <w:shd w:fill="FFFFFF" w:color="auto" w:val="clear"/>
            <w:tcMar>
              <w:top w:type="dxa" w:w="50"/>
              <w:left w:type="dxa" w:w="100"/>
              <w:bottom w:type="dxa" w:w="50"/>
              <w:right w:type="dxa" w:w="100"/>
            </w:tcMar>
            <w:vAlign w:val="center"/>
          </w:tcPr>
          <w:p>
            <w:r>
              <w:rPr>
                <w:color w:val="3A3A3A"/>
                <w:sz w:val="17"/>
                <w:szCs w:val="17"/>
              </w:rPr>
              <w:t xml:space="preserve">Numeric</w:t>
            </w:r>
          </w:p>
        </w:tc>
      </w:tr>
    </w:tbl>
    <w:p>
      <w:pPr>
        <w:spacing w:before="100"/>
      </w:pPr>
    </w:p>
    <w:p>
      <w:pPr>
        <w:spacing w:after="100" w:line="252"/>
        <w:jc w:val="both"/>
      </w:pPr>
      <w:r>
        <w:rPr>
          <w:color w:val="3A3A3A"/>
          <w:sz w:val="21"/>
          <w:szCs w:val="21"/>
        </w:rPr>
        <w:t xml:space="preserve">This structure supports analysis from multiple angles — time, product, geography, and demographics — enabling insights that go beyond simple revenue totals.</w:t>
      </w:r>
    </w:p>
    <w:p>
      <w:pPr>
        <w:pStyle w:val="Heading1"/>
        <w:pBdr>
          <w:bottom w:val="single" w:color="2E74B5" w:sz="6" w:space="3"/>
        </w:pBdr>
        <w:spacing w:after="100" w:before="200"/>
      </w:pPr>
      <w:r>
        <w:rPr>
          <w:b/>
          <w:bCs/>
          <w:color w:val="1F3864"/>
          <w:sz w:val="26"/>
          <w:szCs w:val="26"/>
        </w:rPr>
        <w:t xml:space="preserve">3. Data Cleaning and Preparation</w:t>
      </w:r>
    </w:p>
    <w:p>
      <w:pPr>
        <w:spacing w:after="100" w:line="252"/>
        <w:jc w:val="both"/>
      </w:pPr>
      <w:r>
        <w:rPr>
          <w:color w:val="3A3A3A"/>
          <w:sz w:val="21"/>
          <w:szCs w:val="21"/>
        </w:rPr>
        <w:t xml:space="preserve">The raw dataset was loaded into Pandas and inspected for structure and completeness. A check across all 12 columns showed missing values only in the Age column; these were filled using the column mean to preserve the overall age distribution without discarding otherwise valid order records. The Order_Date column, originally stored as text, was converted to datetime format to enable month-level trend analysis. After these steps, the dataset was re-verified for completeness, correct data types, and the absence of invalid values (such as negative quantities or prices) before analysis began.</w:t>
      </w:r>
    </w:p>
    <w:p>
      <w:pPr>
        <w:pStyle w:val="Heading1"/>
        <w:pBdr>
          <w:bottom w:val="single" w:color="2E74B5" w:sz="6" w:space="3"/>
        </w:pBdr>
        <w:spacing w:after="100" w:before="200"/>
      </w:pPr>
      <w:r>
        <w:rPr>
          <w:b/>
          <w:bCs/>
          <w:color w:val="1F3864"/>
          <w:sz w:val="26"/>
          <w:szCs w:val="26"/>
        </w:rPr>
        <w:t xml:space="preserve">4. Exploratory Data Analysis</w:t>
      </w:r>
    </w:p>
    <w:p>
      <w:pPr>
        <w:spacing w:after="100" w:line="252"/>
        <w:jc w:val="both"/>
      </w:pPr>
      <w:r>
        <w:rPr>
          <w:color w:val="3A3A3A"/>
          <w:sz w:val="21"/>
          <w:szCs w:val="21"/>
        </w:rPr>
        <w:t xml:space="preserve">Using Matplotlib and Seaborn, ten analyses were performed to uncover patterns across time, products, geography, and customer demographics. Key findings are summarised below.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color="auto" w:val="clear"/>
            <w:tcMar>
              <w:top w:type="dxa" w:w="60"/>
              <w:left w:type="dxa" w:w="100"/>
              <w:bottom w:type="dxa" w:w="60"/>
              <w:right w:type="dxa" w:w="100"/>
            </w:tcMar>
            <w:vAlign w:val="center"/>
          </w:tcPr>
          <w:p>
            <w:r>
              <w:rPr>
                <w:b/>
                <w:bCs/>
                <w:color w:val="FFFFFF"/>
                <w:sz w:val="17"/>
                <w:szCs w:val="17"/>
              </w:rPr>
              <w:t xml:space="preserve">Analysis</w:t>
            </w:r>
          </w:p>
        </w:tc>
        <w:tc>
          <w:tcPr>
            <w:tcW w:type="dxa" w:w="6800"/>
            <w:shd w:fill="1F3864" w:color="auto" w:val="clear"/>
            <w:tcMar>
              <w:top w:type="dxa" w:w="60"/>
              <w:left w:type="dxa" w:w="100"/>
              <w:bottom w:type="dxa" w:w="60"/>
              <w:right w:type="dxa" w:w="100"/>
            </w:tcMar>
            <w:vAlign w:val="center"/>
          </w:tcPr>
          <w:p>
            <w:r>
              <w:rPr>
                <w:b/>
                <w:bCs/>
                <w:color w:val="FFFFFF"/>
                <w:sz w:val="17"/>
                <w:szCs w:val="17"/>
              </w:rPr>
              <w:t xml:space="preserve">Key Finding</w:t>
            </w:r>
          </w:p>
        </w:tc>
      </w:tr>
      <w:tr>
        <w:tc>
          <w:tcPr>
            <w:tcW w:type="dxa" w:w="2600"/>
            <w:shd w:fill="FFFFFF" w:color="auto" w:val="clear"/>
            <w:tcMar>
              <w:top w:type="dxa" w:w="50"/>
              <w:left w:type="dxa" w:w="100"/>
              <w:bottom w:type="dxa" w:w="50"/>
              <w:right w:type="dxa" w:w="100"/>
            </w:tcMar>
            <w:vAlign w:val="center"/>
          </w:tcPr>
          <w:p>
            <w:r>
              <w:rPr>
                <w:color w:val="3A3A3A"/>
                <w:sz w:val="17"/>
                <w:szCs w:val="17"/>
              </w:rPr>
              <w:t xml:space="preserve">Monthly Sales Trend</w:t>
            </w:r>
          </w:p>
        </w:tc>
        <w:tc>
          <w:tcPr>
            <w:tcW w:type="dxa" w:w="6800"/>
            <w:shd w:fill="FFFFFF" w:color="auto" w:val="clear"/>
            <w:tcMar>
              <w:top w:type="dxa" w:w="50"/>
              <w:left w:type="dxa" w:w="100"/>
              <w:bottom w:type="dxa" w:w="50"/>
              <w:right w:type="dxa" w:w="100"/>
            </w:tcMar>
            <w:vAlign w:val="center"/>
          </w:tcPr>
          <w:p>
            <w:r>
              <w:rPr>
                <w:color w:val="3A3A3A"/>
                <w:sz w:val="17"/>
                <w:szCs w:val="17"/>
              </w:rPr>
              <w:t xml:space="preserve">Revenue stayed stable across all 12 months, with no strong seasonal spikes.</w:t>
            </w:r>
          </w:p>
        </w:tc>
      </w:tr>
      <w:tr>
        <w:tc>
          <w:tcPr>
            <w:tcW w:type="dxa" w:w="2600"/>
            <w:shd w:fill="F2F2F2" w:color="auto" w:val="clear"/>
            <w:tcMar>
              <w:top w:type="dxa" w:w="50"/>
              <w:left w:type="dxa" w:w="100"/>
              <w:bottom w:type="dxa" w:w="50"/>
              <w:right w:type="dxa" w:w="100"/>
            </w:tcMar>
            <w:vAlign w:val="center"/>
          </w:tcPr>
          <w:p>
            <w:r>
              <w:rPr>
                <w:color w:val="3A3A3A"/>
                <w:sz w:val="17"/>
                <w:szCs w:val="17"/>
              </w:rPr>
              <w:t xml:space="preserve">Top Selling Products</w:t>
            </w:r>
          </w:p>
        </w:tc>
        <w:tc>
          <w:tcPr>
            <w:tcW w:type="dxa" w:w="6800"/>
            <w:shd w:fill="F2F2F2" w:color="auto" w:val="clear"/>
            <w:tcMar>
              <w:top w:type="dxa" w:w="50"/>
              <w:left w:type="dxa" w:w="100"/>
              <w:bottom w:type="dxa" w:w="50"/>
              <w:right w:type="dxa" w:w="100"/>
            </w:tcMar>
            <w:vAlign w:val="center"/>
          </w:tcPr>
          <w:p>
            <w:r>
              <w:rPr>
                <w:color w:val="3A3A3A"/>
                <w:sz w:val="17"/>
                <w:szCs w:val="17"/>
              </w:rPr>
              <w:t xml:space="preserve">Laptop, Mobile, and Book were the strongest revenue contributors.</w:t>
            </w:r>
          </w:p>
        </w:tc>
      </w:tr>
      <w:tr>
        <w:tc>
          <w:tcPr>
            <w:tcW w:type="dxa" w:w="2600"/>
            <w:shd w:fill="FFFFFF" w:color="auto" w:val="clear"/>
            <w:tcMar>
              <w:top w:type="dxa" w:w="50"/>
              <w:left w:type="dxa" w:w="100"/>
              <w:bottom w:type="dxa" w:w="50"/>
              <w:right w:type="dxa" w:w="100"/>
            </w:tcMar>
            <w:vAlign w:val="center"/>
          </w:tcPr>
          <w:p>
            <w:r>
              <w:rPr>
                <w:color w:val="3A3A3A"/>
                <w:sz w:val="17"/>
                <w:szCs w:val="17"/>
              </w:rPr>
              <w:t xml:space="preserve">Category-wise Sales</w:t>
            </w:r>
          </w:p>
        </w:tc>
        <w:tc>
          <w:tcPr>
            <w:tcW w:type="dxa" w:w="6800"/>
            <w:shd w:fill="FFFFFF" w:color="auto" w:val="clear"/>
            <w:tcMar>
              <w:top w:type="dxa" w:w="50"/>
              <w:left w:type="dxa" w:w="100"/>
              <w:bottom w:type="dxa" w:w="50"/>
              <w:right w:type="dxa" w:w="100"/>
            </w:tcMar>
            <w:vAlign w:val="center"/>
          </w:tcPr>
          <w:p>
            <w:r>
              <w:rPr>
                <w:color w:val="3A3A3A"/>
                <w:sz w:val="17"/>
                <w:szCs w:val="17"/>
              </w:rPr>
              <w:t xml:space="preserve">Electronics generated the highest total revenue of any category.</w:t>
            </w:r>
          </w:p>
        </w:tc>
      </w:tr>
      <w:tr>
        <w:tc>
          <w:tcPr>
            <w:tcW w:type="dxa" w:w="2600"/>
            <w:shd w:fill="F2F2F2" w:color="auto" w:val="clear"/>
            <w:tcMar>
              <w:top w:type="dxa" w:w="50"/>
              <w:left w:type="dxa" w:w="100"/>
              <w:bottom w:type="dxa" w:w="50"/>
              <w:right w:type="dxa" w:w="100"/>
            </w:tcMar>
            <w:vAlign w:val="center"/>
          </w:tcPr>
          <w:p>
            <w:r>
              <w:rPr>
                <w:color w:val="3A3A3A"/>
                <w:sz w:val="17"/>
                <w:szCs w:val="17"/>
              </w:rPr>
              <w:t xml:space="preserve">City-wise Sales</w:t>
            </w:r>
          </w:p>
        </w:tc>
        <w:tc>
          <w:tcPr>
            <w:tcW w:type="dxa" w:w="6800"/>
            <w:shd w:fill="F2F2F2" w:color="auto" w:val="clear"/>
            <w:tcMar>
              <w:top w:type="dxa" w:w="50"/>
              <w:left w:type="dxa" w:w="100"/>
              <w:bottom w:type="dxa" w:w="50"/>
              <w:right w:type="dxa" w:w="100"/>
            </w:tcMar>
            <w:vAlign w:val="center"/>
          </w:tcPr>
          <w:p>
            <w:r>
              <w:rPr>
                <w:color w:val="3A3A3A"/>
                <w:sz w:val="17"/>
                <w:szCs w:val="17"/>
              </w:rPr>
              <w:t xml:space="preserve">A distinct set of cities accounted for a disproportionate share of sales.</w:t>
            </w:r>
          </w:p>
        </w:tc>
      </w:tr>
      <w:tr>
        <w:tc>
          <w:tcPr>
            <w:tcW w:type="dxa" w:w="2600"/>
            <w:shd w:fill="FFFFFF" w:color="auto" w:val="clear"/>
            <w:tcMar>
              <w:top w:type="dxa" w:w="50"/>
              <w:left w:type="dxa" w:w="100"/>
              <w:bottom w:type="dxa" w:w="50"/>
              <w:right w:type="dxa" w:w="100"/>
            </w:tcMar>
            <w:vAlign w:val="center"/>
          </w:tcPr>
          <w:p>
            <w:r>
              <w:rPr>
                <w:color w:val="3A3A3A"/>
                <w:sz w:val="17"/>
                <w:szCs w:val="17"/>
              </w:rPr>
              <w:t xml:space="preserve">Age Distribution</w:t>
            </w:r>
          </w:p>
        </w:tc>
        <w:tc>
          <w:tcPr>
            <w:tcW w:type="dxa" w:w="6800"/>
            <w:shd w:fill="FFFFFF" w:color="auto" w:val="clear"/>
            <w:tcMar>
              <w:top w:type="dxa" w:w="50"/>
              <w:left w:type="dxa" w:w="100"/>
              <w:bottom w:type="dxa" w:w="50"/>
              <w:right w:type="dxa" w:w="100"/>
            </w:tcMar>
            <w:vAlign w:val="center"/>
          </w:tcPr>
          <w:p>
            <w:r>
              <w:rPr>
                <w:color w:val="3A3A3A"/>
                <w:sz w:val="17"/>
                <w:szCs w:val="17"/>
              </w:rPr>
              <w:t xml:space="preserve">Customers were spread fairly evenly across adult age groups.</w:t>
            </w:r>
          </w:p>
        </w:tc>
      </w:tr>
      <w:tr>
        <w:tc>
          <w:tcPr>
            <w:tcW w:type="dxa" w:w="2600"/>
            <w:shd w:fill="F2F2F2" w:color="auto" w:val="clear"/>
            <w:tcMar>
              <w:top w:type="dxa" w:w="50"/>
              <w:left w:type="dxa" w:w="100"/>
              <w:bottom w:type="dxa" w:w="50"/>
              <w:right w:type="dxa" w:w="100"/>
            </w:tcMar>
            <w:vAlign w:val="center"/>
          </w:tcPr>
          <w:p>
            <w:r>
              <w:rPr>
                <w:color w:val="3A3A3A"/>
                <w:sz w:val="17"/>
                <w:szCs w:val="17"/>
              </w:rPr>
              <w:t xml:space="preserve">Gender Distribution</w:t>
            </w:r>
          </w:p>
        </w:tc>
        <w:tc>
          <w:tcPr>
            <w:tcW w:type="dxa" w:w="6800"/>
            <w:shd w:fill="F2F2F2" w:color="auto" w:val="clear"/>
            <w:tcMar>
              <w:top w:type="dxa" w:w="50"/>
              <w:left w:type="dxa" w:w="100"/>
              <w:bottom w:type="dxa" w:w="50"/>
              <w:right w:type="dxa" w:w="100"/>
            </w:tcMar>
            <w:vAlign w:val="center"/>
          </w:tcPr>
          <w:p>
            <w:r>
              <w:rPr>
                <w:color w:val="3A3A3A"/>
                <w:sz w:val="17"/>
                <w:szCs w:val="17"/>
              </w:rPr>
              <w:t xml:space="preserve">Male and female customers were nearly evenly split.</w:t>
            </w:r>
          </w:p>
        </w:tc>
      </w:tr>
      <w:tr>
        <w:tc>
          <w:tcPr>
            <w:tcW w:type="dxa" w:w="2600"/>
            <w:shd w:fill="FFFFFF" w:color="auto" w:val="clear"/>
            <w:tcMar>
              <w:top w:type="dxa" w:w="50"/>
              <w:left w:type="dxa" w:w="100"/>
              <w:bottom w:type="dxa" w:w="50"/>
              <w:right w:type="dxa" w:w="100"/>
            </w:tcMar>
            <w:vAlign w:val="center"/>
          </w:tcPr>
          <w:p>
            <w:r>
              <w:rPr>
                <w:color w:val="3A3A3A"/>
                <w:sz w:val="17"/>
                <w:szCs w:val="17"/>
              </w:rPr>
              <w:t xml:space="preserve">Average Order Value</w:t>
            </w:r>
          </w:p>
        </w:tc>
        <w:tc>
          <w:tcPr>
            <w:tcW w:type="dxa" w:w="6800"/>
            <w:shd w:fill="FFFFFF" w:color="auto" w:val="clear"/>
            <w:tcMar>
              <w:top w:type="dxa" w:w="50"/>
              <w:left w:type="dxa" w:w="100"/>
              <w:bottom w:type="dxa" w:w="50"/>
              <w:right w:type="dxa" w:w="100"/>
            </w:tcMar>
            <w:vAlign w:val="center"/>
          </w:tcPr>
          <w:p>
            <w:r>
              <w:rPr>
                <w:color w:val="3A3A3A"/>
                <w:sz w:val="17"/>
                <w:szCs w:val="17"/>
              </w:rPr>
              <w:t xml:space="preserve">Electronics recorded the highest average order value of all categories.</w:t>
            </w:r>
          </w:p>
        </w:tc>
      </w:tr>
      <w:tr>
        <w:tc>
          <w:tcPr>
            <w:tcW w:type="dxa" w:w="2600"/>
            <w:shd w:fill="F2F2F2" w:color="auto" w:val="clear"/>
            <w:tcMar>
              <w:top w:type="dxa" w:w="50"/>
              <w:left w:type="dxa" w:w="100"/>
              <w:bottom w:type="dxa" w:w="50"/>
              <w:right w:type="dxa" w:w="100"/>
            </w:tcMar>
            <w:vAlign w:val="center"/>
          </w:tcPr>
          <w:p>
            <w:r>
              <w:rPr>
                <w:color w:val="3A3A3A"/>
                <w:sz w:val="17"/>
                <w:szCs w:val="17"/>
              </w:rPr>
              <w:t xml:space="preserve">Quantity vs Unit Price</w:t>
            </w:r>
          </w:p>
        </w:tc>
        <w:tc>
          <w:tcPr>
            <w:tcW w:type="dxa" w:w="6800"/>
            <w:shd w:fill="F2F2F2" w:color="auto" w:val="clear"/>
            <w:tcMar>
              <w:top w:type="dxa" w:w="50"/>
              <w:left w:type="dxa" w:w="100"/>
              <w:bottom w:type="dxa" w:w="50"/>
              <w:right w:type="dxa" w:w="100"/>
            </w:tcMar>
            <w:vAlign w:val="center"/>
          </w:tcPr>
          <w:p>
            <w:r>
              <w:rPr>
                <w:color w:val="3A3A3A"/>
                <w:sz w:val="17"/>
                <w:szCs w:val="17"/>
              </w:rPr>
              <w:t xml:space="preserve">No strong link between price and quantity purchased per order.</w:t>
            </w:r>
          </w:p>
        </w:tc>
      </w:tr>
      <w:tr>
        <w:tc>
          <w:tcPr>
            <w:tcW w:type="dxa" w:w="2600"/>
            <w:shd w:fill="FFFFFF" w:color="auto" w:val="clear"/>
            <w:tcMar>
              <w:top w:type="dxa" w:w="50"/>
              <w:left w:type="dxa" w:w="100"/>
              <w:bottom w:type="dxa" w:w="50"/>
              <w:right w:type="dxa" w:w="100"/>
            </w:tcMar>
            <w:vAlign w:val="center"/>
          </w:tcPr>
          <w:p>
            <w:r>
              <w:rPr>
                <w:color w:val="3A3A3A"/>
                <w:sz w:val="17"/>
                <w:szCs w:val="17"/>
              </w:rPr>
              <w:t xml:space="preserve">Top Repeat Customers</w:t>
            </w:r>
          </w:p>
        </w:tc>
        <w:tc>
          <w:tcPr>
            <w:tcW w:type="dxa" w:w="6800"/>
            <w:shd w:fill="FFFFFF" w:color="auto" w:val="clear"/>
            <w:tcMar>
              <w:top w:type="dxa" w:w="50"/>
              <w:left w:type="dxa" w:w="100"/>
              <w:bottom w:type="dxa" w:w="50"/>
              <w:right w:type="dxa" w:w="100"/>
            </w:tcMar>
            <w:vAlign w:val="center"/>
          </w:tcPr>
          <w:p>
            <w:r>
              <w:rPr>
                <w:color w:val="3A3A3A"/>
                <w:sz w:val="17"/>
                <w:szCs w:val="17"/>
              </w:rPr>
              <w:t xml:space="preserve">An identifiable group of customers placed multiple orders in the year.</w:t>
            </w:r>
          </w:p>
        </w:tc>
      </w:tr>
      <w:tr>
        <w:tc>
          <w:tcPr>
            <w:tcW w:type="dxa" w:w="2600"/>
            <w:shd w:fill="F2F2F2" w:color="auto" w:val="clear"/>
            <w:tcMar>
              <w:top w:type="dxa" w:w="50"/>
              <w:left w:type="dxa" w:w="100"/>
              <w:bottom w:type="dxa" w:w="50"/>
              <w:right w:type="dxa" w:w="100"/>
            </w:tcMar>
            <w:vAlign w:val="center"/>
          </w:tcPr>
          <w:p>
            <w:r>
              <w:rPr>
                <w:color w:val="3A3A3A"/>
                <w:sz w:val="17"/>
                <w:szCs w:val="17"/>
              </w:rPr>
              <w:t xml:space="preserve">Correlation Heatmap</w:t>
            </w:r>
          </w:p>
        </w:tc>
        <w:tc>
          <w:tcPr>
            <w:tcW w:type="dxa" w:w="6800"/>
            <w:shd w:fill="F2F2F2" w:color="auto" w:val="clear"/>
            <w:tcMar>
              <w:top w:type="dxa" w:w="50"/>
              <w:left w:type="dxa" w:w="100"/>
              <w:bottom w:type="dxa" w:w="50"/>
              <w:right w:type="dxa" w:w="100"/>
            </w:tcMar>
            <w:vAlign w:val="center"/>
          </w:tcPr>
          <w:p>
            <w:r>
              <w:rPr>
                <w:color w:val="3A3A3A"/>
                <w:sz w:val="17"/>
                <w:szCs w:val="17"/>
              </w:rPr>
              <w:t xml:space="preserve">Total_Sales correlated strongly with Quantity and Unit_Price, as expected; Age showed little relation to spending.</w:t>
            </w:r>
          </w:p>
        </w:tc>
      </w:tr>
    </w:tbl>
    <w:p>
      <w:pPr>
        <w:pStyle w:val="Heading1"/>
        <w:pBdr>
          <w:bottom w:val="single" w:color="2E74B5" w:sz="6" w:space="3"/>
        </w:pBdr>
        <w:spacing w:after="100" w:before="200"/>
      </w:pPr>
      <w:r>
        <w:rPr>
          <w:b/>
          <w:bCs/>
          <w:color w:val="1F3864"/>
          <w:sz w:val="26"/>
          <w:szCs w:val="26"/>
        </w:rPr>
        <w:t xml:space="preserve">5. Dashboard Overview</w:t>
      </w:r>
    </w:p>
    <w:p>
      <w:pPr>
        <w:spacing w:after="100" w:line="252"/>
        <w:jc w:val="both"/>
      </w:pPr>
      <w:r>
        <w:rPr>
          <w:color w:val="3A3A3A"/>
          <w:sz w:val="21"/>
          <w:szCs w:val="21"/>
        </w:rPr>
        <w:t xml:space="preserve">An interactive Power BI dashboard was built to make these findings accessible to non-technical stakeholders. It opens with four KPI cards — Total Sales, Total Orders, Total Customers, and Average Order Value — followed by visuals for Monthly Sales Trend, Category-wise Sales, Product-wise Sales, and City-wise Sales. Interactive filters for Category, City, and Gender let users drill into any segment on demand, turning the dashboard into a genuine decision-support tool rather than a static report.</w:t>
      </w:r>
    </w:p>
    <w:p>
      <w:pPr>
        <w:pStyle w:val="Heading1"/>
        <w:pBdr>
          <w:bottom w:val="single" w:color="2E74B5" w:sz="6" w:space="3"/>
        </w:pBdr>
        <w:spacing w:after="100" w:before="200"/>
      </w:pPr>
      <w:r>
        <w:rPr>
          <w:b/>
          <w:bCs/>
          <w:color w:val="1F3864"/>
          <w:sz w:val="26"/>
          <w:szCs w:val="26"/>
        </w:rPr>
        <w:t xml:space="preserve">6. Business Insights</w:t>
      </w:r>
    </w:p>
    <w:p>
      <w:pPr>
        <w:pStyle w:val="ListParagraph"/>
        <w:numPr>
          <w:ilvl w:val="0"/>
          <w:numId w:val="2"/>
        </w:numPr>
        <w:spacing w:after="60" w:line="246"/>
      </w:pPr>
      <w:r>
        <w:rPr>
          <w:b/>
          <w:bCs/>
          <w:color w:val="3A3A3A"/>
          <w:sz w:val="21"/>
          <w:szCs w:val="21"/>
        </w:rPr>
        <w:t xml:space="preserve">Electronics</w:t>
      </w:r>
      <w:r>
        <w:rPr>
          <w:color w:val="3A3A3A"/>
          <w:sz w:val="21"/>
          <w:szCs w:val="21"/>
        </w:rPr>
        <w:t xml:space="preserve"> is the core revenue driver, leading both in total sales and average order value.</w:t>
      </w:r>
    </w:p>
    <w:p>
      <w:pPr>
        <w:pStyle w:val="ListParagraph"/>
        <w:numPr>
          <w:ilvl w:val="0"/>
          <w:numId w:val="2"/>
        </w:numPr>
        <w:spacing w:after="60" w:line="246"/>
      </w:pPr>
      <w:r>
        <w:rPr>
          <w:b/>
          <w:bCs/>
          <w:color w:val="3A3A3A"/>
          <w:sz w:val="21"/>
          <w:szCs w:val="21"/>
        </w:rPr>
        <w:t xml:space="preserve">A small set of products</w:t>
      </w:r>
      <w:r>
        <w:rPr>
          <w:color w:val="3A3A3A"/>
          <w:sz w:val="21"/>
          <w:szCs w:val="21"/>
        </w:rPr>
        <w:t xml:space="preserve"> (Laptop, Mobile, Book) carry disproportionate weight — spanning both high-value electronics and steady, low-cost demand.</w:t>
      </w:r>
    </w:p>
    <w:p>
      <w:pPr>
        <w:pStyle w:val="ListParagraph"/>
        <w:numPr>
          <w:ilvl w:val="0"/>
          <w:numId w:val="2"/>
        </w:numPr>
        <w:spacing w:after="60" w:line="246"/>
      </w:pPr>
      <w:r>
        <w:rPr>
          <w:b/>
          <w:bCs/>
          <w:color w:val="3A3A3A"/>
          <w:sz w:val="21"/>
          <w:szCs w:val="21"/>
        </w:rPr>
        <w:t xml:space="preserve">Stable year-round sales</w:t>
      </w:r>
      <w:r>
        <w:rPr>
          <w:color w:val="3A3A3A"/>
          <w:sz w:val="21"/>
          <w:szCs w:val="21"/>
        </w:rPr>
        <w:t xml:space="preserve"> points to predictable, non-seasonal demand, simplifying forecasting and inventory planning.</w:t>
      </w:r>
    </w:p>
    <w:p>
      <w:pPr>
        <w:pStyle w:val="ListParagraph"/>
        <w:numPr>
          <w:ilvl w:val="0"/>
          <w:numId w:val="2"/>
        </w:numPr>
        <w:spacing w:after="60" w:line="246"/>
      </w:pPr>
      <w:r>
        <w:rPr>
          <w:b/>
          <w:bCs/>
          <w:color w:val="3A3A3A"/>
          <w:sz w:val="21"/>
          <w:szCs w:val="21"/>
        </w:rPr>
        <w:t xml:space="preserve">The customer base</w:t>
      </w:r>
      <w:r>
        <w:rPr>
          <w:color w:val="3A3A3A"/>
          <w:sz w:val="21"/>
          <w:szCs w:val="21"/>
        </w:rPr>
        <w:t xml:space="preserve"> is balanced by gender but concentrated in a handful of high-performing cities.</w:t>
      </w:r>
    </w:p>
    <w:p>
      <w:pPr>
        <w:pStyle w:val="ListParagraph"/>
        <w:numPr>
          <w:ilvl w:val="0"/>
          <w:numId w:val="2"/>
        </w:numPr>
        <w:spacing w:after="60" w:line="246"/>
      </w:pPr>
      <w:r>
        <w:rPr>
          <w:b/>
          <w:bCs/>
          <w:color w:val="3A3A3A"/>
          <w:sz w:val="21"/>
          <w:szCs w:val="21"/>
        </w:rPr>
        <w:t xml:space="preserve">Repeat customers</w:t>
      </w:r>
      <w:r>
        <w:rPr>
          <w:color w:val="3A3A3A"/>
          <w:sz w:val="21"/>
          <w:szCs w:val="21"/>
        </w:rPr>
        <w:t xml:space="preserve"> represent a lower-cost, higher-trust segment that is currently underleveraged for loyalty engagement.</w:t>
      </w:r>
    </w:p>
    <w:p>
      <w:pPr>
        <w:pStyle w:val="Heading1"/>
        <w:pBdr>
          <w:bottom w:val="single" w:color="2E74B5" w:sz="6" w:space="3"/>
        </w:pBdr>
        <w:spacing w:after="100" w:before="200"/>
      </w:pPr>
      <w:r>
        <w:rPr>
          <w:b/>
          <w:bCs/>
          <w:color w:val="1F3864"/>
          <w:sz w:val="26"/>
          <w:szCs w:val="26"/>
        </w:rPr>
        <w:t xml:space="preserve">7. Business Recommendations</w:t>
      </w:r>
    </w:p>
    <w:p>
      <w:pPr>
        <w:pStyle w:val="ListParagraph"/>
        <w:numPr>
          <w:ilvl w:val="0"/>
          <w:numId w:val="2"/>
        </w:numPr>
        <w:spacing w:after="60" w:line="246"/>
      </w:pPr>
      <w:r>
        <w:rPr>
          <w:b/>
          <w:bCs/>
          <w:color w:val="3A3A3A"/>
          <w:sz w:val="21"/>
          <w:szCs w:val="21"/>
        </w:rPr>
        <w:t xml:space="preserve">Prioritise Electronics</w:t>
      </w:r>
      <w:r>
        <w:rPr>
          <w:color w:val="3A3A3A"/>
          <w:sz w:val="21"/>
          <w:szCs w:val="21"/>
        </w:rPr>
        <w:t xml:space="preserve"> in inventory, supplier planning, and promotional spend given its outsized revenue impact.</w:t>
      </w:r>
    </w:p>
    <w:p>
      <w:pPr>
        <w:pStyle w:val="ListParagraph"/>
        <w:numPr>
          <w:ilvl w:val="0"/>
          <w:numId w:val="2"/>
        </w:numPr>
        <w:spacing w:after="60" w:line="246"/>
      </w:pPr>
      <w:r>
        <w:rPr>
          <w:b/>
          <w:bCs/>
          <w:color w:val="3A3A3A"/>
          <w:sz w:val="21"/>
          <w:szCs w:val="21"/>
        </w:rPr>
        <w:t xml:space="preserve">Protect top-selling products</w:t>
      </w:r>
      <w:r>
        <w:rPr>
          <w:color w:val="3A3A3A"/>
          <w:sz w:val="21"/>
          <w:szCs w:val="21"/>
        </w:rPr>
        <w:t xml:space="preserve"> — Laptop, Mobile, and Book — in marketing and storefront placement.</w:t>
      </w:r>
    </w:p>
    <w:p>
      <w:pPr>
        <w:pStyle w:val="ListParagraph"/>
        <w:numPr>
          <w:ilvl w:val="0"/>
          <w:numId w:val="2"/>
        </w:numPr>
        <w:spacing w:after="60" w:line="246"/>
      </w:pPr>
      <w:r>
        <w:rPr>
          <w:b/>
          <w:bCs/>
          <w:color w:val="3A3A3A"/>
          <w:sz w:val="21"/>
          <w:szCs w:val="21"/>
        </w:rPr>
        <w:t xml:space="preserve">Plan inventory and staffing</w:t>
      </w:r>
      <w:r>
        <w:rPr>
          <w:color w:val="3A3A3A"/>
          <w:sz w:val="21"/>
          <w:szCs w:val="21"/>
        </w:rPr>
        <w:t xml:space="preserve"> using a steady month-over-month model rather than large seasonal buffers.</w:t>
      </w:r>
    </w:p>
    <w:p>
      <w:pPr>
        <w:pStyle w:val="ListParagraph"/>
        <w:numPr>
          <w:ilvl w:val="0"/>
          <w:numId w:val="2"/>
        </w:numPr>
        <w:spacing w:after="60" w:line="246"/>
      </w:pPr>
      <w:r>
        <w:rPr>
          <w:b/>
          <w:bCs/>
          <w:color w:val="3A3A3A"/>
          <w:sz w:val="21"/>
          <w:szCs w:val="21"/>
        </w:rPr>
        <w:t xml:space="preserve">Concentrate regional investment</w:t>
      </w:r>
      <w:r>
        <w:rPr>
          <w:color w:val="3A3A3A"/>
          <w:sz w:val="21"/>
          <w:szCs w:val="21"/>
        </w:rPr>
        <w:t xml:space="preserve"> behind top-performing cities before expanding into lower-performing regions.</w:t>
      </w:r>
    </w:p>
    <w:p>
      <w:pPr>
        <w:pStyle w:val="ListParagraph"/>
        <w:numPr>
          <w:ilvl w:val="0"/>
          <w:numId w:val="2"/>
        </w:numPr>
        <w:spacing w:after="60" w:line="246"/>
      </w:pPr>
      <w:r>
        <w:rPr>
          <w:b/>
          <w:bCs/>
          <w:color w:val="3A3A3A"/>
          <w:sz w:val="21"/>
          <w:szCs w:val="21"/>
        </w:rPr>
        <w:t xml:space="preserve">Build a loyalty programme</w:t>
      </w:r>
      <w:r>
        <w:rPr>
          <w:color w:val="3A3A3A"/>
          <w:sz w:val="21"/>
          <w:szCs w:val="21"/>
        </w:rPr>
        <w:t xml:space="preserve"> using loyalty offers and personalised discounts to retain high-trust repeat customers cost-effectively.</w:t>
      </w:r>
    </w:p>
    <w:p>
      <w:pPr>
        <w:pStyle w:val="Heading1"/>
        <w:pBdr>
          <w:bottom w:val="single" w:color="2E74B5" w:sz="6" w:space="3"/>
        </w:pBdr>
        <w:spacing w:after="100" w:before="200"/>
      </w:pPr>
      <w:r>
        <w:rPr>
          <w:b/>
          <w:bCs/>
          <w:color w:val="1F3864"/>
          <w:sz w:val="26"/>
          <w:szCs w:val="26"/>
        </w:rPr>
        <w:t xml:space="preserve">8. Conclusion</w:t>
      </w:r>
    </w:p>
    <w:p>
      <w:pPr>
        <w:spacing w:after="100" w:line="252"/>
        <w:jc w:val="both"/>
      </w:pPr>
      <w:r>
        <w:rPr>
          <w:color w:val="3A3A3A"/>
          <w:sz w:val="21"/>
          <w:szCs w:val="21"/>
        </w:rPr>
        <w:t xml:space="preserve">This project demonstrates a complete analytics workflow — from cleaning and exploring raw sales data to delivering an interactive dashboard and business-ready recommendations. The findings show a business anchored by its Electronics category, supported by a small set of consistently strong products, stable demand, and a loyal but underleveraged repeat-customer base. Each insight has been paired with a practical recommendation, giving the business a clear starting point for decisions on inventory, marketing, and customer retention, while reinforcing the core skills this internship was designed to build: data preparation, analysis, and business communication.</w:t>
      </w:r>
    </w:p>
    <w:p>
      <w:pPr>
        <w:pStyle w:val="Heading1"/>
        <w:pBdr>
          <w:bottom w:val="single" w:color="2E74B5" w:sz="6" w:space="3"/>
        </w:pBdr>
        <w:spacing w:after="100" w:before="200"/>
      </w:pPr>
      <w:r>
        <w:rPr>
          <w:b/>
          <w:bCs/>
          <w:color w:val="1F3864"/>
          <w:sz w:val="26"/>
          <w:szCs w:val="26"/>
        </w:rPr>
        <w:t xml:space="preserve">Acknowledgement</w:t>
      </w:r>
    </w:p>
    <w:p>
      <w:pPr>
        <w:spacing w:after="100" w:line="252"/>
        <w:jc w:val="both"/>
      </w:pPr>
      <w:r>
        <w:rPr>
          <w:color w:val="3A3A3A"/>
          <w:sz w:val="21"/>
          <w:szCs w:val="21"/>
        </w:rPr>
        <w:t xml:space="preserve">I would like to thank ApexPlanet Software Pvt. Ltd. for the opportunity to undertake this Data Analytics Internship, and for the guidance provided throughout this project. The experience of cleaning, analysing, and visualising a real-world dataset — from Python to Power BI — has meaningfully strengthened my practical skills as an aspiring data analyst. I am also grateful to my mentors and reviewers for their feedback at each stage of this work.</w:t>
      </w:r>
    </w:p>
    <w:p>
      <w:pPr>
        <w:pStyle w:val="Heading1"/>
        <w:pBdr>
          <w:bottom w:val="single" w:color="2E74B5" w:sz="6" w:space="3"/>
        </w:pBdr>
        <w:spacing w:after="100" w:before="200"/>
      </w:pPr>
      <w:r>
        <w:rPr>
          <w:b/>
          <w:bCs/>
          <w:color w:val="1F3864"/>
          <w:sz w:val="26"/>
          <w:szCs w:val="26"/>
        </w:rPr>
        <w:t xml:space="preserve">References</w:t>
      </w:r>
    </w:p>
    <w:p>
      <w:pPr>
        <w:pStyle w:val="ListParagraph"/>
        <w:numPr>
          <w:ilvl w:val="0"/>
          <w:numId w:val="2"/>
        </w:numPr>
        <w:spacing w:after="60" w:line="246"/>
      </w:pPr>
      <w:r>
        <w:rPr>
          <w:b/>
          <w:bCs/>
          <w:color w:val="3A3A3A"/>
          <w:sz w:val="21"/>
          <w:szCs w:val="21"/>
        </w:rPr>
        <w:t xml:space="preserve">Pandas Documentation.</w:t>
      </w:r>
      <w:r>
        <w:rPr>
          <w:color w:val="3A3A3A"/>
          <w:sz w:val="21"/>
          <w:szCs w:val="21"/>
        </w:rPr>
        <w:t xml:space="preserve"> — https://pandas.pydata.org/docs/</w:t>
      </w:r>
    </w:p>
    <w:p>
      <w:pPr>
        <w:pStyle w:val="ListParagraph"/>
        <w:numPr>
          <w:ilvl w:val="0"/>
          <w:numId w:val="2"/>
        </w:numPr>
        <w:spacing w:after="60" w:line="246"/>
      </w:pPr>
      <w:r>
        <w:rPr>
          <w:b/>
          <w:bCs/>
          <w:color w:val="3A3A3A"/>
          <w:sz w:val="21"/>
          <w:szCs w:val="21"/>
        </w:rPr>
        <w:t xml:space="preserve">Matplotlib Documentation.</w:t>
      </w:r>
      <w:r>
        <w:rPr>
          <w:color w:val="3A3A3A"/>
          <w:sz w:val="21"/>
          <w:szCs w:val="21"/>
        </w:rPr>
        <w:t xml:space="preserve"> — https://matplotlib.org/stable/contents.html</w:t>
      </w:r>
    </w:p>
    <w:p>
      <w:pPr>
        <w:pStyle w:val="ListParagraph"/>
        <w:numPr>
          <w:ilvl w:val="0"/>
          <w:numId w:val="2"/>
        </w:numPr>
        <w:spacing w:after="60" w:line="246"/>
      </w:pPr>
      <w:r>
        <w:rPr>
          <w:b/>
          <w:bCs/>
          <w:color w:val="3A3A3A"/>
          <w:sz w:val="21"/>
          <w:szCs w:val="21"/>
        </w:rPr>
        <w:t xml:space="preserve">Seaborn: Statistical Data Visualisation.</w:t>
      </w:r>
      <w:r>
        <w:rPr>
          <w:color w:val="3A3A3A"/>
          <w:sz w:val="21"/>
          <w:szCs w:val="21"/>
        </w:rPr>
        <w:t xml:space="preserve"> — https://seaborn.pydata.org/</w:t>
      </w:r>
    </w:p>
    <w:p>
      <w:pPr>
        <w:pStyle w:val="ListParagraph"/>
        <w:numPr>
          <w:ilvl w:val="0"/>
          <w:numId w:val="2"/>
        </w:numPr>
        <w:spacing w:after="60" w:line="246"/>
      </w:pPr>
      <w:r>
        <w:rPr>
          <w:b/>
          <w:bCs/>
          <w:color w:val="3A3A3A"/>
          <w:sz w:val="21"/>
          <w:szCs w:val="21"/>
        </w:rPr>
        <w:t xml:space="preserve">Power BI Documentation.</w:t>
      </w:r>
      <w:r>
        <w:rPr>
          <w:color w:val="3A3A3A"/>
          <w:sz w:val="21"/>
          <w:szCs w:val="21"/>
        </w:rPr>
        <w:t xml:space="preserve"> — https://learn.microsoft.com/power-bi/</w:t>
      </w:r>
    </w:p>
    <w:p>
      <w:pPr>
        <w:pStyle w:val="ListParagraph"/>
        <w:numPr>
          <w:ilvl w:val="0"/>
          <w:numId w:val="2"/>
        </w:numPr>
        <w:spacing w:after="60" w:line="246"/>
      </w:pPr>
      <w:r>
        <w:rPr>
          <w:b/>
          <w:bCs/>
          <w:color w:val="3A3A3A"/>
          <w:sz w:val="21"/>
          <w:szCs w:val="21"/>
        </w:rPr>
        <w:t xml:space="preserve">Python Language Reference.</w:t>
      </w:r>
      <w:r>
        <w:rPr>
          <w:color w:val="3A3A3A"/>
          <w:sz w:val="21"/>
          <w:szCs w:val="21"/>
        </w:rPr>
        <w:t xml:space="preserve"> — https://docs.python.org/3/</w:t>
      </w:r>
    </w:p>
    <w:sectPr>
      <w:headerReference w:type="default" r:id="rId7"/>
      <w:footerReference w:type="default" r:id="rId8"/>
      <w:pgSz w:w="12240" w:h="15840" w:orient="portrait"/>
      <w:pgMar w:top="1260" w:right="1350" w:bottom="126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808080"/>
        <w:sz w:val="15"/>
        <w:szCs w:val="15"/>
      </w:rPr>
      <w:t xml:space="preserve">Sales Data Analysis using Python and Power BI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00" w:before="200"/>
    </w:pPr>
    <w:rPr>
      <w:rFonts w:ascii="Calibri" w:cs="Calibri" w:eastAsia="Calibri" w:hAnsi="Calibri"/>
      <w:b/>
      <w:bCs/>
      <w:color w:val="1F3864"/>
      <w:sz w:val="28"/>
      <w:szCs w:val="28"/>
    </w:rPr>
  </w:style>
  <w:style w:type="paragraph" w:styleId="Heading2">
    <w:name w:val="Heading 2"/>
    <w:basedOn w:val="Normal"/>
    <w:next w:val="Normal"/>
    <w:qFormat/>
    <w:pPr>
      <w:spacing w:after="60" w:before="140"/>
    </w:pPr>
    <w:rPr>
      <w:rFonts w:ascii="Calibri" w:cs="Calibri" w:eastAsia="Calibri" w:hAnsi="Calibri"/>
      <w:b/>
      <w:bCs/>
      <w:color w:val="2E74B5"/>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2026-07-15T07:31:30.716Z</dcterms:created>
  <dcterms:modified xsi:type="dcterms:W3CDTF">2026-07-15T07:31:30.717Z</dcterms:modified>
</cp:coreProperties>
</file>

<file path=docProps/custom.xml><?xml version="1.0" encoding="utf-8"?>
<Properties xmlns="http://schemas.openxmlformats.org/officeDocument/2006/custom-properties" xmlns:vt="http://schemas.openxmlformats.org/officeDocument/2006/docPropsVTypes"/>
</file>