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The Future of the Creator Economy: A Look into 2026</w:t>
      </w:r>
    </w:p>
    <w:p>
      <w:r>
        <w:t>As we move further into the digital age, the creator economy is poised to become more influential and integrated into the global economic landscape by 2026. With advancements in technology and shifts in consumer behavior, creators are finding new ways to monetize their passions and engage with their audiences. This post explores the potential developments and trends shaping the creator economy in the coming years.</w:t>
      </w:r>
    </w:p>
    <w:p>
      <w:pPr>
        <w:pStyle w:val="Heading1"/>
      </w:pPr>
      <w:r>
        <w:t>Technological Innovations Fueling Growth</w:t>
      </w:r>
    </w:p>
    <w:p>
      <w:r>
        <w:t>The advancement of AI and machine learning is expected to offer creators powerful tools to enhance their content and streamline workflows. Virtual and augmented reality will also provide immersive experiences, allowing creators to connect with audiences in more engaging and meaningful ways.</w:t>
      </w:r>
    </w:p>
    <w:p>
      <w:pPr>
        <w:pStyle w:val="Heading1"/>
      </w:pPr>
      <w:r>
        <w:t>Diversification of Monetization Strategies</w:t>
      </w:r>
    </w:p>
    <w:p>
      <w:r>
        <w:t>By 2026, creators will have a broader array of monetization options, from blockchain-integrated payment systems to more sophisticated subscription models. New platforms will emerge, offering unique ways for creators to monetize their content and build sustainable income streams.</w:t>
      </w:r>
    </w:p>
    <w:p>
      <w:pPr>
        <w:pStyle w:val="Heading1"/>
      </w:pPr>
      <w:r>
        <w:t>Community-Centric Platforms and Engagement</w:t>
      </w:r>
    </w:p>
    <w:p>
      <w:r>
        <w:t>Creators will increasingly focus on building strong, engaged communities as a core part of their strategy. Platforms that prioritize community engagement and direct interaction will flourish, empowering creators to foster loyal fan bases and create content that resonates deeply with their audiences.</w:t>
      </w:r>
    </w:p>
    <w:p>
      <w:pPr>
        <w:pStyle w:val="Heading1"/>
      </w:pPr>
      <w:r>
        <w:t>Closing</w:t>
      </w:r>
    </w:p>
    <w:p>
      <w:r>
        <w:t>The creator economy in 2026 will be marked by technological innovation, diverse monetization strategies, and a strong focus on community engagement. As creators continue to adapt to these changes, they will play a crucial role in shaping the digital economy, offering new opportunities for personal expression and financial success. The future holds exciting possibilities for creators willing to embrace innovation and connect authentically with their audiences.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