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56"/>
        </w:rPr>
        <w:t>Navigating the Dynamic Landscape of the Creator Economy</w:t>
      </w:r>
    </w:p>
    <w:p>
      <w:r>
        <w:t>The creator economy has revolutionized the way individuals engage with audiences and monetize their passions. By leveraging digital platforms, creators can now transform their unique skills and content into lucrative careers. This blog post explores the evolution, opportunities, and challenges within this burgeoning economic sector.</w:t>
      </w:r>
    </w:p>
    <w:p>
      <w:pPr>
        <w:pStyle w:val="Heading1"/>
      </w:pPr>
      <w:r>
        <w:t>The Rise of the Creator Economy</w:t>
      </w:r>
    </w:p>
    <w:p>
      <w:r>
        <w:t>In recent years, the creator economy has gained significant momentum, driven by the accessibility of digital tools and platforms. Social media, video streaming, and podcasting have enabled creators to reach global audiences with ease. This shift has democratized content creation, allowing individuals from diverse backgrounds to share their voices and talents.</w:t>
      </w:r>
    </w:p>
    <w:p>
      <w:pPr>
        <w:pStyle w:val="Heading1"/>
      </w:pPr>
      <w:r>
        <w:t>Opportunities for Creators</w:t>
      </w:r>
    </w:p>
    <w:p>
      <w:r>
        <w:t>The creator economy offers numerous monetization avenues, from brand partnerships to subscription models and merchandise sales. With the rise of platforms like Patreon and OnlyFans, creators can directly engage with their audience and receive financial support. Such opportunities have empowered creators to sustain independent careers without relying on traditional media gatekeepers.</w:t>
      </w:r>
    </w:p>
    <w:p>
      <w:pPr>
        <w:pStyle w:val="Heading1"/>
      </w:pPr>
      <w:r>
        <w:t>Challenges Facing Creators</w:t>
      </w:r>
    </w:p>
    <w:p>
      <w:r>
        <w:t>Despite its potential, the creator economy poses several challenges, including market saturation and the pressure to constantly produce content. Many creators face the risk of burnout as they strive to maintain relevance and engagement. Additionally, monetization is not guaranteed, and creators often need to diversify their income streams to ensure financial stability.</w:t>
      </w:r>
    </w:p>
    <w:p>
      <w:pPr>
        <w:pStyle w:val="Heading1"/>
      </w:pPr>
      <w:r>
        <w:t>Closing</w:t>
      </w:r>
    </w:p>
    <w:p>
      <w:r>
        <w:t>The creator economy represents a paradigm shift in how individuals can build careers around their passions and creativity. While it offers unprecedented opportunities, it also demands resilience and adaptability from those who wish to succeed. As this economy continues to evolve, creators must navigate its complexities to harness its full potential and achieve sustainable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