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0"/>
          <w:szCs w:val="30"/>
        </w:rPr>
        <w:t xml:space="preserve">SANSKRITI LABS</w:t>
      </w:r>
    </w:p>
    <w:p>
      <w:pPr>
        <w:spacing w:after="40"/>
        <w:jc w:val="center"/>
      </w:pPr>
      <w:r>
        <w:rPr>
          <w:sz w:val="24"/>
          <w:szCs w:val="24"/>
        </w:rPr>
        <w:t xml:space="preserve">Snaprint — Self-Service Print Kiosk</w:t>
      </w:r>
    </w:p>
    <w:p>
      <w:pPr>
        <w:spacing w:after="40"/>
        <w:jc w:val="center"/>
      </w:pPr>
      <w:r>
        <w:rPr>
          <w:b/>
          <w:bCs/>
          <w:sz w:val="26"/>
          <w:szCs w:val="26"/>
        </w:rPr>
        <w:t xml:space="preserve">Procurement &amp; Product Specification</w:t>
      </w:r>
    </w:p>
    <w:p>
      <w:pPr>
        <w:spacing w:after="200"/>
        <w:jc w:val="center"/>
      </w:pPr>
      <w:r>
        <w:rPr>
          <w:sz w:val="24"/>
          <w:szCs w:val="24"/>
        </w:rPr>
        <w:t xml:space="preserve">Snaprint S1 — Kiosk Enclosure</w:t>
      </w:r>
    </w:p>
    <w:p>
      <w:pPr>
        <w:spacing w:after="20"/>
        <w:jc w:val="center"/>
      </w:pPr>
      <w:r>
        <w:rPr>
          <w:sz w:val="20"/>
          <w:szCs w:val="20"/>
        </w:rPr>
        <w:t xml:space="preserve">Date: 30 July 2026</w:t>
      </w:r>
    </w:p>
    <w:p>
      <w:pPr>
        <w:spacing w:after="20"/>
        <w:jc w:val="center"/>
      </w:pPr>
      <w:r>
        <w:rPr>
          <w:sz w:val="20"/>
          <w:szCs w:val="20"/>
        </w:rPr>
        <w:t xml:space="preserve">Prepared by: Goutham, Sanskriti Labs</w:t>
      </w:r>
    </w:p>
    <w:p>
      <w:pPr>
        <w:pBdr>
          <w:top w:val="single" w:color="111110" w:sz="6"/>
          <w:bottom w:val="single" w:color="111110" w:sz="6"/>
        </w:pBdr>
        <w:spacing w:after="300" w:before="200"/>
        <w:jc w:val="both"/>
      </w:pPr>
      <w:r>
        <w:rPr>
          <w:i/>
          <w:iCs/>
          <w:sz w:val="20"/>
          <w:szCs w:val="20"/>
        </w:rPr>
        <w:t xml:space="preserve">Confidential — for use between Sanskriti Labs and Ratnam Solutions Private Limited only. This document and its contents (dimensions, component specifications, and internal design details) are shared solely to enable an accurate manufacturing quote for the Snaprint S1, and should not be disclosed, copied, or shared with any third party without Sanskriti Labs' prior written consent.</w:t>
      </w:r>
    </w:p>
    <w:p>
      <w:pPr>
        <w:pStyle w:val="Heading2"/>
        <w:spacing w:after="120" w:before="300"/>
      </w:pPr>
      <w:r>
        <w:t xml:space="preserve">1. Project overview</w:t>
      </w:r>
    </w:p>
    <w:p>
      <w:pPr>
        <w:spacing w:after="160"/>
        <w:jc w:val="both"/>
      </w:pPr>
      <w:r>
        <w:rPr>
          <w:i w:val="false"/>
          <w:iCs w:val="false"/>
          <w:sz w:val="22"/>
          <w:szCs w:val="22"/>
        </w:rPr>
        <w:t xml:space="preserve">Sanskriti Labs is developing the Snaprint S1, a self-service print kiosk for deployment in partner print shops near college campuses. This document sets out the confirmed dimensions, internal layout, and component list for the kiosk housing, verified against the actual printer and touchscreen hardware, so an accurate manufacturing quote can be prepared.</w:t>
      </w:r>
    </w:p>
    <w:p>
      <w:pPr>
        <w:pStyle w:val="Heading2"/>
        <w:spacing w:after="120" w:before="300"/>
      </w:pPr>
      <w:r>
        <w:t xml:space="preserve">2. Kiosk housing specification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rPr>
        <w:tc>
          <w:tcPr>
            <w:tcW w:type="dxa" w:w="3117"/>
            <w:shd w:fill="DDDDDD" w:val="clear"/>
            <w:tcMar>
              <w:top w:type="dxa" w:w="100"/>
              <w:left w:type="dxa" w:w="120"/>
              <w:bottom w:type="dxa" w:w="100"/>
              <w:right w:type="dxa" w:w="120"/>
            </w:tcMar>
            <w:vAlign w:val="center"/>
          </w:tcPr>
          <w:p>
            <w:pPr>
              <w:jc w:val="left"/>
            </w:pPr>
            <w:r>
              <w:rPr>
                <w:b/>
                <w:bCs/>
                <w:sz w:val="20"/>
                <w:szCs w:val="20"/>
              </w:rPr>
              <w:t xml:space="preserve">Item</w:t>
            </w:r>
          </w:p>
        </w:tc>
        <w:tc>
          <w:tcPr>
            <w:tcW w:type="dxa" w:w="3117"/>
            <w:shd w:fill="DDDDDD" w:val="clear"/>
            <w:tcMar>
              <w:top w:type="dxa" w:w="100"/>
              <w:left w:type="dxa" w:w="120"/>
              <w:bottom w:type="dxa" w:w="100"/>
              <w:right w:type="dxa" w:w="120"/>
            </w:tcMar>
            <w:vAlign w:val="center"/>
          </w:tcPr>
          <w:p>
            <w:pPr>
              <w:jc w:val="left"/>
            </w:pPr>
            <w:r>
              <w:rPr>
                <w:b/>
                <w:bCs/>
                <w:sz w:val="20"/>
                <w:szCs w:val="20"/>
              </w:rPr>
              <w:t xml:space="preserve">Footprint (W x D)</w:t>
            </w:r>
          </w:p>
        </w:tc>
        <w:tc>
          <w:tcPr>
            <w:tcW w:type="dxa" w:w="3116"/>
            <w:shd w:fill="DDDDDD" w:val="clear"/>
            <w:tcMar>
              <w:top w:type="dxa" w:w="100"/>
              <w:left w:type="dxa" w:w="120"/>
              <w:bottom w:type="dxa" w:w="100"/>
              <w:right w:type="dxa" w:w="120"/>
            </w:tcMar>
            <w:vAlign w:val="center"/>
          </w:tcPr>
          <w:p>
            <w:pPr>
              <w:jc w:val="left"/>
            </w:pPr>
            <w:r>
              <w:rPr>
                <w:b/>
                <w:bCs/>
                <w:sz w:val="20"/>
                <w:szCs w:val="20"/>
              </w:rPr>
              <w:t xml:space="preserve">Height</w:t>
            </w:r>
          </w:p>
        </w:tc>
      </w:tr>
      <w:tr>
        <w:trPr>
          <w:cantSplit/>
        </w:trPr>
        <w:tc>
          <w:tcPr>
            <w:tcW w:type="dxa" w:w="3117"/>
            <w:tcMar>
              <w:top w:type="dxa" w:w="100"/>
              <w:left w:type="dxa" w:w="120"/>
              <w:bottom w:type="dxa" w:w="100"/>
              <w:right w:type="dxa" w:w="120"/>
            </w:tcMar>
            <w:vAlign w:val="center"/>
          </w:tcPr>
          <w:p>
            <w:pPr>
              <w:jc w:val="left"/>
            </w:pPr>
            <w:r>
              <w:rPr>
                <w:b w:val="false"/>
                <w:bCs w:val="false"/>
                <w:sz w:val="20"/>
                <w:szCs w:val="20"/>
              </w:rPr>
              <w:t xml:space="preserve">Kiosk housing</w:t>
            </w:r>
          </w:p>
        </w:tc>
        <w:tc>
          <w:tcPr>
            <w:tcW w:type="dxa" w:w="3117"/>
            <w:tcMar>
              <w:top w:type="dxa" w:w="100"/>
              <w:left w:type="dxa" w:w="120"/>
              <w:bottom w:type="dxa" w:w="100"/>
              <w:right w:type="dxa" w:w="120"/>
            </w:tcMar>
            <w:vAlign w:val="center"/>
          </w:tcPr>
          <w:p>
            <w:pPr>
              <w:jc w:val="left"/>
            </w:pPr>
            <w:r>
              <w:rPr>
                <w:b w:val="false"/>
                <w:bCs w:val="false"/>
                <w:sz w:val="20"/>
                <w:szCs w:val="20"/>
              </w:rPr>
              <w:t xml:space="preserve">55 x 70 cm</w:t>
            </w:r>
          </w:p>
        </w:tc>
        <w:tc>
          <w:tcPr>
            <w:tcW w:type="dxa" w:w="3116"/>
            <w:tcMar>
              <w:top w:type="dxa" w:w="100"/>
              <w:left w:type="dxa" w:w="120"/>
              <w:bottom w:type="dxa" w:w="100"/>
              <w:right w:type="dxa" w:w="120"/>
            </w:tcMar>
            <w:vAlign w:val="center"/>
          </w:tcPr>
          <w:p>
            <w:pPr>
              <w:jc w:val="left"/>
            </w:pPr>
            <w:r>
              <w:rPr>
                <w:b w:val="false"/>
                <w:bCs w:val="false"/>
                <w:sz w:val="20"/>
                <w:szCs w:val="20"/>
              </w:rPr>
              <w:t xml:space="preserve">176.8 cm</w:t>
            </w:r>
          </w:p>
        </w:tc>
      </w:tr>
    </w:tbl>
    <w:p>
      <w:pPr>
        <w:spacing w:after="160"/>
        <w:jc w:val="both"/>
      </w:pPr>
      <w:r>
        <w:rPr>
          <w:i w:val="false"/>
          <w:iCs w:val="false"/>
          <w:sz w:val="22"/>
          <w:szCs w:val="22"/>
        </w:rPr>
        <w:t xml:space="preserve">The 70 cm depth gives adequate clearance behind the printer for the rear service door and cable routing — see Section 4 for full component dimensions.</w:t>
      </w:r>
    </w:p>
    <w:p>
      <w:pPr>
        <w:pStyle w:val="Heading2"/>
        <w:spacing w:after="120" w:before="300"/>
      </w:pPr>
      <w:r>
        <w:t xml:space="preserve">3. Internal layout (floor to top)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50"/>
      </w:tblGrid>
      <w:tr>
        <w:trPr>
          <w:cantSplit/>
        </w:trPr>
        <w:tc>
          <w:tcPr>
            <w:tcW w:type="dxa" w:w="2200"/>
            <w:shd w:fill="DDDDDD" w:val="clear"/>
            <w:tcMar>
              <w:top w:type="dxa" w:w="100"/>
              <w:left w:type="dxa" w:w="120"/>
              <w:bottom w:type="dxa" w:w="100"/>
              <w:right w:type="dxa" w:w="120"/>
            </w:tcMar>
            <w:vAlign w:val="center"/>
          </w:tcPr>
          <w:p>
            <w:pPr>
              <w:jc w:val="left"/>
            </w:pPr>
            <w:r>
              <w:rPr>
                <w:b/>
                <w:bCs/>
                <w:sz w:val="20"/>
                <w:szCs w:val="20"/>
              </w:rPr>
              <w:t xml:space="preserve">Zone</w:t>
            </w:r>
          </w:p>
        </w:tc>
        <w:tc>
          <w:tcPr>
            <w:tcW w:type="dxa" w:w="1600"/>
            <w:shd w:fill="DDDDDD" w:val="clear"/>
            <w:tcMar>
              <w:top w:type="dxa" w:w="100"/>
              <w:left w:type="dxa" w:w="120"/>
              <w:bottom w:type="dxa" w:w="100"/>
              <w:right w:type="dxa" w:w="120"/>
            </w:tcMar>
            <w:vAlign w:val="center"/>
          </w:tcPr>
          <w:p>
            <w:pPr>
              <w:jc w:val="left"/>
            </w:pPr>
            <w:r>
              <w:rPr>
                <w:b/>
                <w:bCs/>
                <w:sz w:val="20"/>
                <w:szCs w:val="20"/>
              </w:rPr>
              <w:t xml:space="preserve">Height</w:t>
            </w:r>
          </w:p>
        </w:tc>
        <w:tc>
          <w:tcPr>
            <w:tcW w:type="dxa" w:w="5550"/>
            <w:shd w:fill="DDDDDD" w:val="clear"/>
            <w:tcMar>
              <w:top w:type="dxa" w:w="100"/>
              <w:left w:type="dxa" w:w="120"/>
              <w:bottom w:type="dxa" w:w="100"/>
              <w:right w:type="dxa" w:w="120"/>
            </w:tcMar>
            <w:vAlign w:val="center"/>
          </w:tcPr>
          <w:p>
            <w:pPr>
              <w:jc w:val="left"/>
            </w:pPr>
            <w:r>
              <w:rPr>
                <w:b/>
                <w:bCs/>
                <w:sz w:val="20"/>
                <w:szCs w:val="20"/>
              </w:rPr>
              <w:t xml:space="preserve">Contents</w:t>
            </w:r>
          </w:p>
        </w:tc>
      </w:tr>
      <w:tr>
        <w:trPr>
          <w:cantSplit/>
        </w:trPr>
        <w:tc>
          <w:tcPr>
            <w:tcW w:type="dxa" w:w="2200"/>
            <w:tcMar>
              <w:top w:type="dxa" w:w="100"/>
              <w:left w:type="dxa" w:w="120"/>
              <w:bottom w:type="dxa" w:w="100"/>
              <w:right w:type="dxa" w:w="120"/>
            </w:tcMar>
            <w:vAlign w:val="center"/>
          </w:tcPr>
          <w:p>
            <w:pPr>
              <w:jc w:val="left"/>
            </w:pPr>
            <w:r>
              <w:rPr>
                <w:b w:val="false"/>
                <w:bCs w:val="false"/>
                <w:sz w:val="20"/>
                <w:szCs w:val="20"/>
              </w:rPr>
              <w:t xml:space="preserve">Base</w:t>
            </w:r>
          </w:p>
        </w:tc>
        <w:tc>
          <w:tcPr>
            <w:tcW w:type="dxa" w:w="1600"/>
            <w:tcMar>
              <w:top w:type="dxa" w:w="100"/>
              <w:left w:type="dxa" w:w="120"/>
              <w:bottom w:type="dxa" w:w="100"/>
              <w:right w:type="dxa" w:w="120"/>
            </w:tcMar>
            <w:vAlign w:val="center"/>
          </w:tcPr>
          <w:p>
            <w:pPr>
              <w:jc w:val="left"/>
            </w:pPr>
            <w:r>
              <w:rPr>
                <w:b w:val="false"/>
                <w:bCs w:val="false"/>
                <w:sz w:val="20"/>
                <w:szCs w:val="20"/>
              </w:rPr>
              <w:t xml:space="preserve">0–90 cm</w:t>
            </w:r>
          </w:p>
        </w:tc>
        <w:tc>
          <w:tcPr>
            <w:tcW w:type="dxa" w:w="5550"/>
            <w:tcMar>
              <w:top w:type="dxa" w:w="100"/>
              <w:left w:type="dxa" w:w="120"/>
              <w:bottom w:type="dxa" w:w="100"/>
              <w:right w:type="dxa" w:w="120"/>
            </w:tcMar>
            <w:vAlign w:val="center"/>
          </w:tcPr>
          <w:p>
            <w:pPr>
              <w:jc w:val="left"/>
            </w:pPr>
            <w:r>
              <w:rPr>
                <w:b w:val="false"/>
                <w:bCs w:val="false"/>
                <w:sz w:val="20"/>
                <w:szCs w:val="20"/>
              </w:rPr>
              <w:t xml:space="preserve">Structural base; locking castors or fixed feet; recommended location for a weighted base plate (see stability note below)</w:t>
            </w:r>
          </w:p>
        </w:tc>
      </w:tr>
      <w:tr>
        <w:trPr>
          <w:cantSplit/>
        </w:trPr>
        <w:tc>
          <w:tcPr>
            <w:tcW w:type="dxa" w:w="2200"/>
            <w:tcMar>
              <w:top w:type="dxa" w:w="100"/>
              <w:left w:type="dxa" w:w="120"/>
              <w:bottom w:type="dxa" w:w="100"/>
              <w:right w:type="dxa" w:w="120"/>
            </w:tcMar>
            <w:vAlign w:val="center"/>
          </w:tcPr>
          <w:p>
            <w:pPr>
              <w:jc w:val="left"/>
            </w:pPr>
            <w:r>
              <w:rPr>
                <w:b w:val="false"/>
                <w:bCs w:val="false"/>
                <w:sz w:val="20"/>
                <w:szCs w:val="20"/>
              </w:rPr>
              <w:t xml:space="preserve">Output &amp; routing</w:t>
            </w:r>
          </w:p>
        </w:tc>
        <w:tc>
          <w:tcPr>
            <w:tcW w:type="dxa" w:w="1600"/>
            <w:tcMar>
              <w:top w:type="dxa" w:w="100"/>
              <w:left w:type="dxa" w:w="120"/>
              <w:bottom w:type="dxa" w:w="100"/>
              <w:right w:type="dxa" w:w="120"/>
            </w:tcMar>
            <w:vAlign w:val="center"/>
          </w:tcPr>
          <w:p>
            <w:pPr>
              <w:jc w:val="left"/>
            </w:pPr>
            <w:r>
              <w:rPr>
                <w:b w:val="false"/>
                <w:bCs w:val="false"/>
                <w:sz w:val="20"/>
                <w:szCs w:val="20"/>
              </w:rPr>
              <w:t xml:space="preserve">90–112 cm</w:t>
            </w:r>
          </w:p>
        </w:tc>
        <w:tc>
          <w:tcPr>
            <w:tcW w:type="dxa" w:w="5550"/>
            <w:tcMar>
              <w:top w:type="dxa" w:w="100"/>
              <w:left w:type="dxa" w:w="120"/>
              <w:bottom w:type="dxa" w:w="100"/>
              <w:right w:type="dxa" w:w="120"/>
            </w:tcMar>
            <w:vAlign w:val="center"/>
          </w:tcPr>
          <w:p>
            <w:pPr>
              <w:jc w:val="left"/>
            </w:pPr>
            <w:r>
              <w:rPr>
                <w:b w:val="false"/>
                <w:bCs w:val="false"/>
                <w:sz w:val="20"/>
                <w:szCs w:val="20"/>
              </w:rPr>
              <w:t xml:space="preserve">7 cm print collection slot, plus a 15 cm internal gap routing the paper path down from the printer</w:t>
            </w:r>
          </w:p>
        </w:tc>
      </w:tr>
      <w:tr>
        <w:trPr>
          <w:cantSplit/>
        </w:trPr>
        <w:tc>
          <w:tcPr>
            <w:tcW w:type="dxa" w:w="2200"/>
            <w:tcMar>
              <w:top w:type="dxa" w:w="100"/>
              <w:left w:type="dxa" w:w="120"/>
              <w:bottom w:type="dxa" w:w="100"/>
              <w:right w:type="dxa" w:w="120"/>
            </w:tcMar>
            <w:vAlign w:val="center"/>
          </w:tcPr>
          <w:p>
            <w:pPr>
              <w:jc w:val="left"/>
            </w:pPr>
            <w:r>
              <w:rPr>
                <w:b w:val="false"/>
                <w:bCs w:val="false"/>
                <w:sz w:val="20"/>
                <w:szCs w:val="20"/>
              </w:rPr>
              <w:t xml:space="preserve">Screen + printer</w:t>
            </w:r>
          </w:p>
        </w:tc>
        <w:tc>
          <w:tcPr>
            <w:tcW w:type="dxa" w:w="1600"/>
            <w:tcMar>
              <w:top w:type="dxa" w:w="100"/>
              <w:left w:type="dxa" w:w="120"/>
              <w:bottom w:type="dxa" w:w="100"/>
              <w:right w:type="dxa" w:w="120"/>
            </w:tcMar>
            <w:vAlign w:val="center"/>
          </w:tcPr>
          <w:p>
            <w:pPr>
              <w:jc w:val="left"/>
            </w:pPr>
            <w:r>
              <w:rPr>
                <w:b w:val="false"/>
                <w:bCs w:val="false"/>
                <w:sz w:val="20"/>
                <w:szCs w:val="20"/>
              </w:rPr>
              <w:t xml:space="preserve">112–162 cm</w:t>
            </w:r>
          </w:p>
        </w:tc>
        <w:tc>
          <w:tcPr>
            <w:tcW w:type="dxa" w:w="5550"/>
            <w:tcMar>
              <w:top w:type="dxa" w:w="100"/>
              <w:left w:type="dxa" w:w="120"/>
              <w:bottom w:type="dxa" w:w="100"/>
              <w:right w:type="dxa" w:w="120"/>
            </w:tcMar>
            <w:vAlign w:val="center"/>
          </w:tcPr>
          <w:p>
            <w:pPr>
              <w:jc w:val="left"/>
            </w:pPr>
            <w:r>
              <w:rPr>
                <w:b w:val="false"/>
                <w:bCs w:val="false"/>
                <w:sz w:val="20"/>
                <w:szCs w:val="20"/>
              </w:rPr>
              <w:t xml:space="preserve">15.6" touchscreen mounted on the front face; Epson WF-C5890 printer mounted directly behind it</w:t>
            </w:r>
          </w:p>
        </w:tc>
      </w:tr>
      <w:tr>
        <w:trPr>
          <w:cantSplit/>
        </w:trPr>
        <w:tc>
          <w:tcPr>
            <w:tcW w:type="dxa" w:w="2200"/>
            <w:tcMar>
              <w:top w:type="dxa" w:w="100"/>
              <w:left w:type="dxa" w:w="120"/>
              <w:bottom w:type="dxa" w:w="100"/>
              <w:right w:type="dxa" w:w="120"/>
            </w:tcMar>
            <w:vAlign w:val="center"/>
          </w:tcPr>
          <w:p>
            <w:pPr>
              <w:jc w:val="left"/>
            </w:pPr>
            <w:r>
              <w:rPr>
                <w:b w:val="false"/>
                <w:bCs w:val="false"/>
                <w:sz w:val="20"/>
                <w:szCs w:val="20"/>
              </w:rPr>
              <w:t xml:space="preserve">Upper body</w:t>
            </w:r>
          </w:p>
        </w:tc>
        <w:tc>
          <w:tcPr>
            <w:tcW w:type="dxa" w:w="1600"/>
            <w:tcMar>
              <w:top w:type="dxa" w:w="100"/>
              <w:left w:type="dxa" w:w="120"/>
              <w:bottom w:type="dxa" w:w="100"/>
              <w:right w:type="dxa" w:w="120"/>
            </w:tcMar>
            <w:vAlign w:val="center"/>
          </w:tcPr>
          <w:p>
            <w:pPr>
              <w:jc w:val="left"/>
            </w:pPr>
            <w:r>
              <w:rPr>
                <w:b w:val="false"/>
                <w:bCs w:val="false"/>
                <w:sz w:val="20"/>
                <w:szCs w:val="20"/>
              </w:rPr>
              <w:t xml:space="preserve">162–176.8 cm</w:t>
            </w:r>
          </w:p>
        </w:tc>
        <w:tc>
          <w:tcPr>
            <w:tcW w:type="dxa" w:w="5550"/>
            <w:tcMar>
              <w:top w:type="dxa" w:w="100"/>
              <w:left w:type="dxa" w:w="120"/>
              <w:bottom w:type="dxa" w:w="100"/>
              <w:right w:type="dxa" w:w="120"/>
            </w:tcMar>
            <w:vAlign w:val="center"/>
          </w:tcPr>
          <w:p>
            <w:pPr>
              <w:jc w:val="left"/>
            </w:pPr>
            <w:r>
              <w:rPr>
                <w:b w:val="false"/>
                <w:bCs w:val="false"/>
                <w:sz w:val="20"/>
                <w:szCs w:val="20"/>
              </w:rPr>
              <w:t xml:space="preserve">Branding graphic; full-height LED edge stripe continues to the top</w:t>
            </w:r>
          </w:p>
        </w:tc>
      </w:tr>
    </w:tbl>
    <w:p>
      <w:pPr>
        <w:spacing w:after="160"/>
        <w:jc w:val="both"/>
      </w:pPr>
      <w:r>
        <w:rPr>
          <w:i/>
          <w:iCs/>
          <w:sz w:val="22"/>
          <w:szCs w:val="22"/>
        </w:rPr>
        <w:t xml:space="preserve">Stability note: positioning the printer at screen height rather than low in the cabinet raises the unit's centre of gravity. A weighted base plate in the base zone is recommended to keep the unit stable in an unattended public setting.</w:t>
      </w:r>
    </w:p>
    <w:p>
      <w:pPr>
        <w:pStyle w:val="Heading2"/>
        <w:spacing w:after="120" w:before="300"/>
      </w:pPr>
      <w:r>
        <w:t xml:space="preserve">4. Component compatibility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350"/>
        <w:gridCol w:w="2500"/>
        <w:gridCol w:w="1500"/>
      </w:tblGrid>
      <w:tr>
        <w:trPr>
          <w:cantSplit/>
        </w:trPr>
        <w:tc>
          <w:tcPr>
            <w:tcW w:type="dxa" w:w="2000"/>
            <w:shd w:fill="DDDDDD" w:val="clear"/>
            <w:tcMar>
              <w:top w:type="dxa" w:w="100"/>
              <w:left w:type="dxa" w:w="120"/>
              <w:bottom w:type="dxa" w:w="100"/>
              <w:right w:type="dxa" w:w="120"/>
            </w:tcMar>
            <w:vAlign w:val="center"/>
          </w:tcPr>
          <w:p>
            <w:pPr>
              <w:jc w:val="left"/>
            </w:pPr>
            <w:r>
              <w:rPr>
                <w:b/>
                <w:bCs/>
                <w:sz w:val="20"/>
                <w:szCs w:val="20"/>
              </w:rPr>
              <w:t xml:space="preserve">Component</w:t>
            </w:r>
          </w:p>
        </w:tc>
        <w:tc>
          <w:tcPr>
            <w:tcW w:type="dxa" w:w="3350"/>
            <w:shd w:fill="DDDDDD" w:val="clear"/>
            <w:tcMar>
              <w:top w:type="dxa" w:w="100"/>
              <w:left w:type="dxa" w:w="120"/>
              <w:bottom w:type="dxa" w:w="100"/>
              <w:right w:type="dxa" w:w="120"/>
            </w:tcMar>
            <w:vAlign w:val="center"/>
          </w:tcPr>
          <w:p>
            <w:pPr>
              <w:jc w:val="left"/>
            </w:pPr>
            <w:r>
              <w:rPr>
                <w:b/>
                <w:bCs/>
                <w:sz w:val="20"/>
                <w:szCs w:val="20"/>
              </w:rPr>
              <w:t xml:space="preserve">Spec / model</w:t>
            </w:r>
          </w:p>
        </w:tc>
        <w:tc>
          <w:tcPr>
            <w:tcW w:type="dxa" w:w="2500"/>
            <w:shd w:fill="DDDDDD" w:val="clear"/>
            <w:tcMar>
              <w:top w:type="dxa" w:w="100"/>
              <w:left w:type="dxa" w:w="120"/>
              <w:bottom w:type="dxa" w:w="100"/>
              <w:right w:type="dxa" w:w="120"/>
            </w:tcMar>
            <w:vAlign w:val="center"/>
          </w:tcPr>
          <w:p>
            <w:pPr>
              <w:jc w:val="left"/>
            </w:pPr>
            <w:r>
              <w:rPr>
                <w:b/>
                <w:bCs/>
                <w:sz w:val="20"/>
                <w:szCs w:val="20"/>
              </w:rPr>
              <w:t xml:space="preserve">Dimensions (W x D x H)</w:t>
            </w:r>
          </w:p>
        </w:tc>
        <w:tc>
          <w:tcPr>
            <w:tcW w:type="dxa" w:w="1500"/>
            <w:shd w:fill="DDDDDD" w:val="clear"/>
            <w:tcMar>
              <w:top w:type="dxa" w:w="100"/>
              <w:left w:type="dxa" w:w="120"/>
              <w:bottom w:type="dxa" w:w="100"/>
              <w:right w:type="dxa" w:w="120"/>
            </w:tcMar>
            <w:vAlign w:val="center"/>
          </w:tcPr>
          <w:p>
            <w:pPr>
              <w:jc w:val="left"/>
            </w:pPr>
            <w:r>
              <w:rPr>
                <w:b/>
                <w:bCs/>
                <w:sz w:val="20"/>
                <w:szCs w:val="20"/>
              </w:rPr>
              <w:t xml:space="preserve">Supply</w:t>
            </w:r>
          </w:p>
        </w:tc>
      </w:tr>
      <w:tr>
        <w:trPr>
          <w:cantSplit/>
        </w:trPr>
        <w:tc>
          <w:tcPr>
            <w:tcW w:type="dxa" w:w="2000"/>
            <w:tcMar>
              <w:top w:type="dxa" w:w="100"/>
              <w:left w:type="dxa" w:w="120"/>
              <w:bottom w:type="dxa" w:w="100"/>
              <w:right w:type="dxa" w:w="120"/>
            </w:tcMar>
            <w:vAlign w:val="center"/>
          </w:tcPr>
          <w:p>
            <w:pPr>
              <w:jc w:val="left"/>
            </w:pPr>
            <w:r>
              <w:rPr>
                <w:b w:val="false"/>
                <w:bCs w:val="false"/>
                <w:sz w:val="20"/>
                <w:szCs w:val="20"/>
              </w:rPr>
              <w:t xml:space="preserve">Printer</w:t>
            </w:r>
          </w:p>
        </w:tc>
        <w:tc>
          <w:tcPr>
            <w:tcW w:type="dxa" w:w="3350"/>
            <w:tcMar>
              <w:top w:type="dxa" w:w="100"/>
              <w:left w:type="dxa" w:w="120"/>
              <w:bottom w:type="dxa" w:w="100"/>
              <w:right w:type="dxa" w:w="120"/>
            </w:tcMar>
            <w:vAlign w:val="center"/>
          </w:tcPr>
          <w:p>
            <w:pPr>
              <w:jc w:val="left"/>
            </w:pPr>
            <w:r>
              <w:rPr>
                <w:b w:val="false"/>
                <w:bCs w:val="false"/>
                <w:sz w:val="20"/>
                <w:szCs w:val="20"/>
              </w:rPr>
              <w:t xml:space="preserve">Epson WorkForce Pro WF-C5890</w:t>
            </w:r>
          </w:p>
        </w:tc>
        <w:tc>
          <w:tcPr>
            <w:tcW w:type="dxa" w:w="2500"/>
            <w:tcMar>
              <w:top w:type="dxa" w:w="100"/>
              <w:left w:type="dxa" w:w="120"/>
              <w:bottom w:type="dxa" w:w="100"/>
              <w:right w:type="dxa" w:w="120"/>
            </w:tcMar>
            <w:vAlign w:val="center"/>
          </w:tcPr>
          <w:p>
            <w:pPr>
              <w:jc w:val="left"/>
            </w:pPr>
            <w:r>
              <w:rPr>
                <w:b w:val="false"/>
                <w:bCs w:val="false"/>
                <w:sz w:val="20"/>
                <w:szCs w:val="20"/>
              </w:rPr>
              <w:t xml:space="preserve">42.4 x 57.9 x 45.0 cm — operating configuration</w:t>
            </w:r>
          </w:p>
        </w:tc>
        <w:tc>
          <w:tcPr>
            <w:tcW w:type="dxa" w:w="1500"/>
            <w:tcMar>
              <w:top w:type="dxa" w:w="100"/>
              <w:left w:type="dxa" w:w="120"/>
              <w:bottom w:type="dxa" w:w="100"/>
              <w:right w:type="dxa" w:w="120"/>
            </w:tcMar>
            <w:vAlign w:val="center"/>
          </w:tcPr>
          <w:p>
            <w:pPr>
              <w:jc w:val="left"/>
            </w:pPr>
            <w:r>
              <w:rPr>
                <w:b w:val="false"/>
                <w:bCs w:val="false"/>
                <w:sz w:val="20"/>
                <w:szCs w:val="20"/>
              </w:rPr>
              <w:t xml:space="preserve">Supplied by Sanskriti Labs</w:t>
            </w:r>
          </w:p>
        </w:tc>
      </w:tr>
      <w:tr>
        <w:trPr>
          <w:cantSplit/>
        </w:trPr>
        <w:tc>
          <w:tcPr>
            <w:tcW w:type="dxa" w:w="2000"/>
            <w:tcMar>
              <w:top w:type="dxa" w:w="100"/>
              <w:left w:type="dxa" w:w="120"/>
              <w:bottom w:type="dxa" w:w="100"/>
              <w:right w:type="dxa" w:w="120"/>
            </w:tcMar>
            <w:vAlign w:val="center"/>
          </w:tcPr>
          <w:p>
            <w:pPr>
              <w:jc w:val="left"/>
            </w:pPr>
            <w:r>
              <w:rPr>
                <w:b w:val="false"/>
                <w:bCs w:val="false"/>
                <w:sz w:val="20"/>
                <w:szCs w:val="20"/>
              </w:rPr>
              <w:t xml:space="preserve">Touchscreen</w:t>
            </w:r>
          </w:p>
        </w:tc>
        <w:tc>
          <w:tcPr>
            <w:tcW w:type="dxa" w:w="3350"/>
            <w:tcMar>
              <w:top w:type="dxa" w:w="100"/>
              <w:left w:type="dxa" w:w="120"/>
              <w:bottom w:type="dxa" w:w="100"/>
              <w:right w:type="dxa" w:w="120"/>
            </w:tcMar>
            <w:vAlign w:val="center"/>
          </w:tcPr>
          <w:p>
            <w:pPr>
              <w:jc w:val="left"/>
            </w:pPr>
            <w:r>
              <w:rPr>
                <w:b w:val="false"/>
                <w:bCs w:val="false"/>
                <w:sz w:val="20"/>
                <w:szCs w:val="20"/>
              </w:rPr>
              <w:t xml:space="preserve">15.6" industrial Android touch display (exact model TBC)</w:t>
            </w:r>
          </w:p>
        </w:tc>
        <w:tc>
          <w:tcPr>
            <w:tcW w:type="dxa" w:w="2500"/>
            <w:tcMar>
              <w:top w:type="dxa" w:w="100"/>
              <w:left w:type="dxa" w:w="120"/>
              <w:bottom w:type="dxa" w:w="100"/>
              <w:right w:type="dxa" w:w="120"/>
            </w:tcMar>
            <w:vAlign w:val="center"/>
          </w:tcPr>
          <w:p>
            <w:pPr>
              <w:jc w:val="left"/>
            </w:pPr>
            <w:r>
              <w:rPr>
                <w:b w:val="false"/>
                <w:bCs w:val="false"/>
                <w:sz w:val="20"/>
                <w:szCs w:val="20"/>
              </w:rPr>
              <w:t xml:space="preserve">Active area approx. 34.4 x 19.4 cm; estimated unit approx. 38 x 23 x 4 cm</w:t>
            </w:r>
          </w:p>
        </w:tc>
        <w:tc>
          <w:tcPr>
            <w:tcW w:type="dxa" w:w="1500"/>
            <w:tcMar>
              <w:top w:type="dxa" w:w="100"/>
              <w:left w:type="dxa" w:w="120"/>
              <w:bottom w:type="dxa" w:w="100"/>
              <w:right w:type="dxa" w:w="120"/>
            </w:tcMar>
            <w:vAlign w:val="center"/>
          </w:tcPr>
          <w:p>
            <w:pPr>
              <w:jc w:val="left"/>
            </w:pPr>
            <w:r>
              <w:rPr>
                <w:b w:val="false"/>
                <w:bCs w:val="false"/>
                <w:sz w:val="20"/>
                <w:szCs w:val="20"/>
              </w:rPr>
              <w:t xml:space="preserve">Supplied by Sanskriti Labs</w:t>
            </w:r>
          </w:p>
        </w:tc>
      </w:tr>
      <w:tr>
        <w:trPr>
          <w:cantSplit/>
        </w:trPr>
        <w:tc>
          <w:tcPr>
            <w:tcW w:type="dxa" w:w="2000"/>
            <w:tcMar>
              <w:top w:type="dxa" w:w="100"/>
              <w:left w:type="dxa" w:w="120"/>
              <w:bottom w:type="dxa" w:w="100"/>
              <w:right w:type="dxa" w:w="120"/>
            </w:tcMar>
            <w:vAlign w:val="center"/>
          </w:tcPr>
          <w:p>
            <w:pPr>
              <w:jc w:val="left"/>
            </w:pPr>
            <w:r>
              <w:rPr>
                <w:b w:val="false"/>
                <w:bCs w:val="false"/>
                <w:sz w:val="20"/>
                <w:szCs w:val="20"/>
              </w:rPr>
              <w:t xml:space="preserve">Exhaust fan</w:t>
            </w:r>
          </w:p>
        </w:tc>
        <w:tc>
          <w:tcPr>
            <w:tcW w:type="dxa" w:w="3350"/>
            <w:tcMar>
              <w:top w:type="dxa" w:w="100"/>
              <w:left w:type="dxa" w:w="120"/>
              <w:bottom w:type="dxa" w:w="100"/>
              <w:right w:type="dxa" w:w="120"/>
            </w:tcMar>
            <w:vAlign w:val="center"/>
          </w:tcPr>
          <w:p>
            <w:pPr>
              <w:jc w:val="left"/>
            </w:pPr>
            <w:r>
              <w:rPr>
                <w:b w:val="false"/>
                <w:bCs w:val="false"/>
                <w:sz w:val="20"/>
                <w:szCs w:val="20"/>
              </w:rPr>
              <w:t xml:space="preserve">12V DC axial fan with digital thermostat module (e.g. 3" fan + XH-W1209 controller, or equivalent) — reference example, confirm final sourcing</w:t>
            </w:r>
          </w:p>
        </w:tc>
        <w:tc>
          <w:tcPr>
            <w:tcW w:type="dxa" w:w="2500"/>
            <w:tcMar>
              <w:top w:type="dxa" w:w="100"/>
              <w:left w:type="dxa" w:w="120"/>
              <w:bottom w:type="dxa" w:w="100"/>
              <w:right w:type="dxa" w:w="120"/>
            </w:tcMar>
            <w:vAlign w:val="center"/>
          </w:tcPr>
          <w:p>
            <w:pPr>
              <w:jc w:val="left"/>
            </w:pPr>
            <w:r>
              <w:rPr>
                <w:b w:val="false"/>
                <w:bCs w:val="false"/>
                <w:sz w:val="20"/>
                <w:szCs w:val="20"/>
              </w:rPr>
              <w:t xml:space="preserve">Fan approx. 76 x 76 x 25–30 mm</w:t>
            </w:r>
          </w:p>
        </w:tc>
        <w:tc>
          <w:tcPr>
            <w:tcW w:type="dxa" w:w="1500"/>
            <w:tcMar>
              <w:top w:type="dxa" w:w="100"/>
              <w:left w:type="dxa" w:w="120"/>
              <w:bottom w:type="dxa" w:w="100"/>
              <w:right w:type="dxa" w:w="120"/>
            </w:tcMar>
            <w:vAlign w:val="center"/>
          </w:tcPr>
          <w:p>
            <w:pPr>
              <w:jc w:val="left"/>
            </w:pPr>
            <w:r>
              <w:rPr>
                <w:b w:val="false"/>
                <w:bCs w:val="false"/>
                <w:sz w:val="20"/>
                <w:szCs w:val="20"/>
              </w:rPr>
              <w:t xml:space="preserve">To confirm with Ratnam</w:t>
            </w:r>
          </w:p>
        </w:tc>
      </w:tr>
    </w:tbl>
    <w:p>
      <w:pPr>
        <w:spacing w:after="160"/>
        <w:jc w:val="both"/>
      </w:pPr>
      <w:r>
        <w:rPr>
          <w:i w:val="false"/>
          <w:iCs w:val="false"/>
          <w:sz w:val="22"/>
          <w:szCs w:val="22"/>
        </w:rPr>
        <w:t xml:space="preserve">Printer dimensions are given in its operating configuration (output tray extended), since the kiosk runs unattended and the printer must stay ready to print at all times — not its storage/closed configuration, which is smaller. Touchscreen dimensions are estimated from the standard 15.6" 16:9 panel size; please confirm the exact model before finalising the front bezel cut-out.</w:t>
      </w:r>
    </w:p>
    <w:p>
      <w:pPr>
        <w:pStyle w:val="Heading2"/>
        <w:spacing w:after="120" w:before="300"/>
      </w:pPr>
      <w:r>
        <w:t xml:space="preserve">5. Access, ventilation &amp; cabling</w:t>
      </w:r>
    </w:p>
    <w:p>
      <w:pPr>
        <w:pStyle w:val="ListParagraph"/>
        <w:numPr>
          <w:ilvl w:val="0"/>
          <w:numId w:val="1"/>
        </w:numPr>
        <w:spacing w:after="60"/>
      </w:pPr>
      <w:r>
        <w:rPr>
          <w:sz w:val="22"/>
          <w:szCs w:val="22"/>
        </w:rPr>
        <w:t xml:space="preserve">Front: no service door.</w:t>
      </w:r>
    </w:p>
    <w:p>
      <w:pPr>
        <w:pStyle w:val="ListParagraph"/>
        <w:numPr>
          <w:ilvl w:val="0"/>
          <w:numId w:val="1"/>
        </w:numPr>
        <w:spacing w:after="60"/>
      </w:pPr>
      <w:r>
        <w:rPr>
          <w:sz w:val="22"/>
          <w:szCs w:val="22"/>
        </w:rPr>
        <w:t xml:space="preserve">Rear: one lockable service door sized for printer paper and ink refill.</w:t>
      </w:r>
    </w:p>
    <w:p>
      <w:pPr>
        <w:pStyle w:val="ListParagraph"/>
        <w:numPr>
          <w:ilvl w:val="0"/>
          <w:numId w:val="1"/>
        </w:numPr>
        <w:spacing w:after="60"/>
      </w:pPr>
      <w:r>
        <w:rPr>
          <w:sz w:val="22"/>
          <w:szCs w:val="22"/>
        </w:rPr>
        <w:t xml:space="preserve">Side: one cutout for power and data cable entry, with the surge protection unit mounted at the entry point.</w:t>
      </w:r>
    </w:p>
    <w:p>
      <w:pPr>
        <w:pStyle w:val="ListParagraph"/>
        <w:numPr>
          <w:ilvl w:val="0"/>
          <w:numId w:val="1"/>
        </w:numPr>
        <w:spacing w:after="60"/>
      </w:pPr>
      <w:r>
        <w:rPr>
          <w:sz w:val="22"/>
          <w:szCs w:val="22"/>
        </w:rPr>
        <w:t xml:space="preserve">Ventilation: a modest requirement. The Epson WF-C5890 draws approximately 27W standalone (PrecisionCore Heat-Free inkjet, not laser), so ventilation is mainly to manage moisture rather than a significant heat load. Recommend one small 12V DC exhaust fan (approx. 76 mm / 3") paired with a digital thermostat module (e.g. XH-W1209 or equivalent) with an NTC sensor, so the fan switches on automatically only once the compartment warms past a set point and off again once it cools — it should not run continuously. Placement should avoid the rear door's hinge and swing path.</w:t>
      </w:r>
    </w:p>
    <w:p>
      <w:pPr>
        <w:pStyle w:val="Heading2"/>
        <w:spacing w:after="120" w:before="300"/>
      </w:pPr>
      <w:r>
        <w:t xml:space="preserve">6. Material &amp; finish</w:t>
      </w:r>
    </w:p>
    <w:p>
      <w:pPr>
        <w:pStyle w:val="ListParagraph"/>
        <w:numPr>
          <w:ilvl w:val="0"/>
          <w:numId w:val="1"/>
        </w:numPr>
        <w:spacing w:after="60"/>
      </w:pPr>
      <w:r>
        <w:rPr>
          <w:sz w:val="22"/>
          <w:szCs w:val="22"/>
        </w:rPr>
        <w:t xml:space="preserve">Enclosure: metal, powder-coated.</w:t>
      </w:r>
    </w:p>
    <w:p>
      <w:pPr>
        <w:pStyle w:val="ListParagraph"/>
        <w:numPr>
          <w:ilvl w:val="0"/>
          <w:numId w:val="1"/>
        </w:numPr>
        <w:spacing w:after="60"/>
      </w:pPr>
      <w:r>
        <w:rPr>
          <w:sz w:val="22"/>
          <w:szCs w:val="22"/>
        </w:rPr>
        <w:t xml:space="preserve">Finish specifics (gauge, exact colour match to Signal Red #E63946 / Charcoal #111110 / Off-white #F5F5F5) at the manufacturer's standard build and recommendation.</w:t>
      </w:r>
    </w:p>
    <w:p>
      <w:pPr>
        <w:pStyle w:val="Heading2"/>
        <w:spacing w:after="120" w:before="300"/>
      </w:pPr>
      <w:r>
        <w:t xml:space="preserve">7. Scope for vendor quote</w:t>
      </w:r>
    </w:p>
    <w:p>
      <w:pPr>
        <w:pStyle w:val="ListParagraph"/>
        <w:numPr>
          <w:ilvl w:val="0"/>
          <w:numId w:val="1"/>
        </w:numPr>
        <w:spacing w:after="60"/>
      </w:pPr>
      <w:r>
        <w:rPr>
          <w:sz w:val="22"/>
          <w:szCs w:val="22"/>
        </w:rPr>
        <w:t xml:space="preserve">Kiosk housing fabrication to 55 x 70 cm footprint, 176.8 cm height</w:t>
      </w:r>
    </w:p>
    <w:p>
      <w:pPr>
        <w:pStyle w:val="ListParagraph"/>
        <w:numPr>
          <w:ilvl w:val="0"/>
          <w:numId w:val="1"/>
        </w:numPr>
        <w:spacing w:after="60"/>
      </w:pPr>
      <w:r>
        <w:rPr>
          <w:sz w:val="22"/>
          <w:szCs w:val="22"/>
        </w:rPr>
        <w:t xml:space="preserve">Internal mounting structure for the Epson WF-C5890 printer (operating configuration)</w:t>
      </w:r>
    </w:p>
    <w:p>
      <w:pPr>
        <w:pStyle w:val="ListParagraph"/>
        <w:numPr>
          <w:ilvl w:val="0"/>
          <w:numId w:val="1"/>
        </w:numPr>
        <w:spacing w:after="60"/>
      </w:pPr>
      <w:r>
        <w:rPr>
          <w:sz w:val="22"/>
          <w:szCs w:val="22"/>
        </w:rPr>
        <w:t xml:space="preserve">Front bezel cut-out and mount for the 15.6" touchscreen</w:t>
      </w:r>
    </w:p>
    <w:p>
      <w:pPr>
        <w:pStyle w:val="ListParagraph"/>
        <w:numPr>
          <w:ilvl w:val="0"/>
          <w:numId w:val="1"/>
        </w:numPr>
        <w:spacing w:after="60"/>
      </w:pPr>
      <w:r>
        <w:rPr>
          <w:sz w:val="22"/>
          <w:szCs w:val="22"/>
        </w:rPr>
        <w:t xml:space="preserve">Rear lockable service door sized for printer paper/ink access</w:t>
      </w:r>
    </w:p>
    <w:p>
      <w:pPr>
        <w:pStyle w:val="ListParagraph"/>
        <w:numPr>
          <w:ilvl w:val="0"/>
          <w:numId w:val="1"/>
        </w:numPr>
        <w:spacing w:after="60"/>
      </w:pPr>
      <w:r>
        <w:rPr>
          <w:sz w:val="22"/>
          <w:szCs w:val="22"/>
        </w:rPr>
        <w:t xml:space="preserve">Side cable entry cutout with a surge protector mounting point</w:t>
      </w:r>
    </w:p>
    <w:p>
      <w:pPr>
        <w:pStyle w:val="ListParagraph"/>
        <w:numPr>
          <w:ilvl w:val="0"/>
          <w:numId w:val="1"/>
        </w:numPr>
        <w:spacing w:after="60"/>
      </w:pPr>
      <w:r>
        <w:rPr>
          <w:sz w:val="22"/>
          <w:szCs w:val="22"/>
        </w:rPr>
        <w:t xml:space="preserve">Cable management and routing between printer, screen, and power unit</w:t>
      </w:r>
    </w:p>
    <w:p>
      <w:pPr>
        <w:pStyle w:val="ListParagraph"/>
        <w:numPr>
          <w:ilvl w:val="0"/>
          <w:numId w:val="1"/>
        </w:numPr>
        <w:spacing w:after="60"/>
      </w:pPr>
      <w:r>
        <w:rPr>
          <w:sz w:val="22"/>
          <w:szCs w:val="22"/>
        </w:rPr>
        <w:t xml:space="preserve">Ventilation for the printer compartment, including a mounting point for a small thermostatically-controlled exhaust fan (approx. 76 mm / 3")</w:t>
      </w:r>
    </w:p>
    <w:p>
      <w:pPr>
        <w:pStyle w:val="ListParagraph"/>
        <w:numPr>
          <w:ilvl w:val="0"/>
          <w:numId w:val="1"/>
        </w:numPr>
        <w:spacing w:after="60"/>
      </w:pPr>
      <w:r>
        <w:rPr>
          <w:sz w:val="22"/>
          <w:szCs w:val="22"/>
        </w:rPr>
        <w:t xml:space="preserve">Power distribution — single mains input, internally distributed</w:t>
      </w:r>
    </w:p>
    <w:p>
      <w:pPr>
        <w:pStyle w:val="ListParagraph"/>
        <w:numPr>
          <w:ilvl w:val="0"/>
          <w:numId w:val="1"/>
        </w:numPr>
        <w:spacing w:after="60"/>
      </w:pPr>
      <w:r>
        <w:rPr>
          <w:sz w:val="22"/>
          <w:szCs w:val="22"/>
        </w:rPr>
        <w:t xml:space="preserve">Base with locking castors or fixed feet, plus a weighted base plate for stability</w:t>
      </w:r>
    </w:p>
    <w:p>
      <w:pPr>
        <w:pStyle w:val="ListParagraph"/>
        <w:numPr>
          <w:ilvl w:val="0"/>
          <w:numId w:val="1"/>
        </w:numPr>
        <w:spacing w:after="60"/>
      </w:pPr>
      <w:r>
        <w:rPr>
          <w:sz w:val="22"/>
          <w:szCs w:val="22"/>
        </w:rPr>
        <w:t xml:space="preserve">Powder-coated metal finish, brand colour match (Signal Red #E63946, Charcoal #111110, Off-white #F5F5F5)</w:t>
      </w:r>
    </w:p>
    <w:p>
      <w:pPr>
        <w:pStyle w:val="Heading2"/>
        <w:pageBreakBefore/>
        <w:spacing w:after="120" w:before="300"/>
      </w:pPr>
      <w:r>
        <w:t xml:space="preserve">8. Requirements for an accurate quote</w:t>
      </w:r>
    </w:p>
    <w:p>
      <w:pPr>
        <w:pStyle w:val="ListParagraph"/>
        <w:numPr>
          <w:ilvl w:val="0"/>
          <w:numId w:val="1"/>
        </w:numPr>
        <w:spacing w:after="60"/>
      </w:pPr>
      <w:r>
        <w:rPr>
          <w:sz w:val="22"/>
          <w:szCs w:val="22"/>
        </w:rPr>
        <w:t xml:space="preserve">Confirm the exact touchscreen make/model once selected, for a precise bezel cut-out</w:t>
      </w:r>
    </w:p>
    <w:p>
      <w:pPr>
        <w:pStyle w:val="ListParagraph"/>
        <w:numPr>
          <w:ilvl w:val="0"/>
          <w:numId w:val="1"/>
        </w:numPr>
        <w:spacing w:after="60"/>
      </w:pPr>
      <w:r>
        <w:rPr>
          <w:sz w:val="22"/>
          <w:szCs w:val="22"/>
        </w:rPr>
        <w:t xml:space="preserve">Confirm whether 70 cm depth gives adequate rear-door and cable clearance, or advise if more is needed</w:t>
      </w:r>
    </w:p>
    <w:p>
      <w:pPr>
        <w:pStyle w:val="ListParagraph"/>
        <w:numPr>
          <w:ilvl w:val="0"/>
          <w:numId w:val="1"/>
        </w:numPr>
        <w:spacing w:after="60"/>
      </w:pPr>
      <w:r>
        <w:rPr>
          <w:sz w:val="22"/>
          <w:szCs w:val="22"/>
        </w:rPr>
        <w:t xml:space="preserve">Confirm sourcing and exact mounting position for the exhaust fan and thermostat module</w:t>
      </w:r>
    </w:p>
    <w:p>
      <w:pPr>
        <w:pStyle w:val="ListParagraph"/>
        <w:numPr>
          <w:ilvl w:val="0"/>
          <w:numId w:val="1"/>
        </w:numPr>
        <w:spacing w:after="60"/>
      </w:pPr>
      <w:r>
        <w:rPr>
          <w:sz w:val="22"/>
          <w:szCs w:val="22"/>
        </w:rPr>
        <w:t xml:space="preserve">Advise whether locking castors or fixed levelling feet are your standard build for a unit this height</w:t>
      </w:r>
    </w:p>
    <w:p>
      <w:pPr>
        <w:pStyle w:val="ListParagraph"/>
        <w:numPr>
          <w:ilvl w:val="0"/>
          <w:numId w:val="1"/>
        </w:numPr>
        <w:spacing w:after="60"/>
      </w:pPr>
      <w:r>
        <w:rPr>
          <w:sz w:val="22"/>
          <w:szCs w:val="22"/>
        </w:rPr>
        <w:t xml:space="preserve">Unit quantity (single unit / pilot batch)</w:t>
      </w:r>
    </w:p>
    <w:p>
      <w:pPr>
        <w:pStyle w:val="ListParagraph"/>
        <w:numPr>
          <w:ilvl w:val="0"/>
          <w:numId w:val="1"/>
        </w:numPr>
        <w:spacing w:after="60"/>
      </w:pPr>
      <w:r>
        <w:rPr>
          <w:sz w:val="22"/>
          <w:szCs w:val="22"/>
        </w:rPr>
        <w:t xml:space="preserve">Lead time from confirmation to delivery</w:t>
      </w:r>
    </w:p>
    <w:p>
      <w:pPr>
        <w:pStyle w:val="ListParagraph"/>
        <w:numPr>
          <w:ilvl w:val="0"/>
          <w:numId w:val="1"/>
        </w:numPr>
        <w:spacing w:after="60"/>
      </w:pPr>
      <w:r>
        <w:rPr>
          <w:sz w:val="22"/>
          <w:szCs w:val="22"/>
        </w:rPr>
        <w:t xml:space="preserve">Delivery and installation charges, if separate from unit cost</w:t>
      </w:r>
    </w:p>
    <w:p>
      <w:pPr>
        <w:pStyle w:val="ListParagraph"/>
        <w:numPr>
          <w:ilvl w:val="0"/>
          <w:numId w:val="1"/>
        </w:numPr>
        <w:spacing w:after="60"/>
      </w:pPr>
      <w:r>
        <w:rPr>
          <w:sz w:val="22"/>
          <w:szCs w:val="22"/>
        </w:rPr>
        <w:t xml:space="preserve">Warranty terms on the housing and fabrication</w:t>
      </w:r>
    </w:p>
    <w:p>
      <w:pPr>
        <w:pStyle w:val="ListParagraph"/>
        <w:numPr>
          <w:ilvl w:val="0"/>
          <w:numId w:val="1"/>
        </w:numPr>
        <w:spacing w:after="60"/>
      </w:pPr>
      <w:r>
        <w:rPr>
          <w:sz w:val="22"/>
          <w:szCs w:val="22"/>
        </w:rPr>
        <w:t xml:space="preserve">Any design changes needed given the confirmed dimensions above</w:t>
      </w:r>
    </w:p>
    <w:p>
      <w:pPr>
        <w:spacing w:before="300"/>
      </w:pPr>
      <w:r>
        <w:rPr>
          <w:i/>
          <w:iCs/>
          <w:sz w:val="22"/>
          <w:szCs w:val="22"/>
        </w:rPr>
        <w:t xml:space="preserve">Happy to hop on a call if any of the above needs clarification before you finalise the quote.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2026-07-30T00:24:50.474Z</dcterms:created>
  <dcterms:modified xsi:type="dcterms:W3CDTF">2026-07-30T00:24:50.505Z</dcterms:modified>
</cp:coreProperties>
</file>

<file path=docProps/custom.xml><?xml version="1.0" encoding="utf-8"?>
<Properties xmlns="http://schemas.openxmlformats.org/officeDocument/2006/custom-properties" xmlns:vt="http://schemas.openxmlformats.org/officeDocument/2006/docPropsVTypes"/>
</file>