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9241B" w14:textId="77777777" w:rsidR="006E4797" w:rsidRPr="00F72213" w:rsidRDefault="00551D82" w:rsidP="00DA3C5C">
      <w:pPr>
        <w:pBdr>
          <w:top w:val="nil"/>
          <w:left w:val="nil"/>
          <w:bottom w:val="nil"/>
          <w:right w:val="nil"/>
          <w:between w:val="nil"/>
        </w:pBdr>
        <w:rPr>
          <w:rFonts w:asciiTheme="majorHAnsi" w:hAnsiTheme="majorHAnsi" w:cstheme="majorHAnsi"/>
          <w:color w:val="000000"/>
        </w:rPr>
      </w:pPr>
      <w:r w:rsidRPr="00F72213">
        <w:rPr>
          <w:rFonts w:asciiTheme="majorHAnsi" w:hAnsiTheme="majorHAnsi" w:cstheme="majorHAnsi"/>
          <w:b/>
          <w:color w:val="000000"/>
        </w:rPr>
        <w:t>TITLE:</w:t>
      </w:r>
      <w:r w:rsidRPr="00F72213">
        <w:rPr>
          <w:rFonts w:asciiTheme="majorHAnsi" w:hAnsiTheme="majorHAnsi" w:cstheme="majorHAnsi"/>
          <w:color w:val="000000"/>
        </w:rPr>
        <w:t xml:space="preserve"> </w:t>
      </w:r>
      <w:r w:rsidRPr="00F72213">
        <w:rPr>
          <w:rFonts w:asciiTheme="majorHAnsi" w:hAnsiTheme="majorHAnsi" w:cstheme="majorHAnsi"/>
          <w:color w:val="000000"/>
        </w:rPr>
        <w:t xml:space="preserve"> </w:t>
      </w:r>
    </w:p>
    <w:p>
      <w:pPr>
        <w:jc w:val="left"/>
        <w:rPr>
          <w:rFonts w:asciiTheme="majorHAnsi" w:hAnsiTheme="majorHAnsi" w:cstheme="majorHAnsi"/>
        </w:rPr>
      </w:pPr>
      <w:r>
        <w:rPr>
          <w:rFonts w:asciiTheme="majorHAnsi" w:hAnsiTheme="majorHAnsi" w:cstheme="majorHAnsi"/>
        </w:rPr>
        <w:t xml:space="preserve">Using the Heart-on-a-Miniscope System to Investigate the Calcium Signal Dynamics of Human Induced Pluripotent Stem Cell-derived Cardiac Organoids</w:t>
      </w:r>
    </w:p>
    <w:p w14:paraId="06C0C87E" w14:textId="77777777" w:rsidR="006E4797" w:rsidRPr="00F72213" w:rsidRDefault="006E4797" w:rsidP="00DA3C5C">
      <w:pPr>
        <w:rPr>
          <w:rFonts w:asciiTheme="majorHAnsi" w:hAnsiTheme="majorHAnsi" w:cstheme="majorHAnsi"/>
          <w:b/>
        </w:rPr>
      </w:pPr>
    </w:p>
    <w:p w14:paraId="2CD8481E" w14:textId="77777777" w:rsidR="006E4797" w:rsidRPr="00F72213" w:rsidRDefault="00551D82" w:rsidP="00DA3C5C">
      <w:pPr>
        <w:rPr>
          <w:rFonts w:asciiTheme="majorHAnsi" w:hAnsiTheme="majorHAnsi" w:cstheme="majorHAnsi"/>
          <w:color w:val="808080"/>
        </w:rPr>
      </w:pPr>
      <w:r w:rsidRPr="00F72213">
        <w:rPr>
          <w:rFonts w:asciiTheme="majorHAnsi" w:hAnsiTheme="majorHAnsi" w:cstheme="majorHAnsi"/>
          <w:b/>
        </w:rPr>
        <w:t xml:space="preserve">AUTHORS AND AFFILIATIONS: </w:t>
      </w:r>
    </w:p>
    <w:p>
      <w:pPr>
        <w:jc w:val="left"/>
        <w:rPr>
          <w:rFonts w:asciiTheme="majorHAnsi" w:hAnsiTheme="majorHAnsi" w:cstheme="majorHAnsi"/>
        </w:rPr>
      </w:pPr>
      <w:r>
        <w:rPr>
          <w:rFonts w:asciiTheme="majorHAnsi" w:hAnsiTheme="majorHAnsi" w:cstheme="majorHAnsi"/>
        </w:rPr>
        <w:t xml:space="preserve">Sanskriti Shindadkar</w:t>
      </w:r>
      <w:r>
        <w:rPr>
          <w:rFonts w:asciiTheme="majorHAnsi" w:hAnsiTheme="majorHAnsi" w:cstheme="majorHAnsi"/>
          <w:vertAlign w:val="superscript"/>
        </w:rPr>
        <w:t xml:space="preserve">1*</w:t>
      </w:r>
      <w:r>
        <w:rPr>
          <w:rFonts w:asciiTheme="majorHAnsi" w:hAnsiTheme="majorHAnsi" w:cstheme="majorHAnsi"/>
        </w:rPr>
        <w:t xml:space="preserve">, Michelle Phan</w:t>
      </w:r>
      <w:r>
        <w:rPr>
          <w:rFonts w:asciiTheme="majorHAnsi" w:hAnsiTheme="majorHAnsi" w:cstheme="majorHAnsi"/>
          <w:vertAlign w:val="superscript"/>
        </w:rPr>
        <w:t xml:space="preserve">1*</w:t>
      </w:r>
      <w:r>
        <w:rPr>
          <w:rFonts w:asciiTheme="majorHAnsi" w:hAnsiTheme="majorHAnsi" w:cstheme="majorHAnsi"/>
        </w:rPr>
        <w:t xml:space="preserve">, Yuqi Zhang</w:t>
      </w:r>
      <w:r>
        <w:rPr>
          <w:rFonts w:asciiTheme="majorHAnsi" w:hAnsiTheme="majorHAnsi" w:cstheme="majorHAnsi"/>
          <w:vertAlign w:val="superscript"/>
        </w:rPr>
        <w:t xml:space="preserve">1*</w:t>
      </w:r>
      <w:r>
        <w:rPr>
          <w:rFonts w:asciiTheme="majorHAnsi" w:hAnsiTheme="majorHAnsi" w:cstheme="majorHAnsi"/>
        </w:rPr>
        <w:t xml:space="preserve">, Karley Tioran</w:t>
      </w:r>
      <w:r>
        <w:rPr>
          <w:rFonts w:asciiTheme="majorHAnsi" w:hAnsiTheme="majorHAnsi" w:cstheme="majorHAnsi"/>
          <w:vertAlign w:val="superscript"/>
        </w:rPr>
        <w:t xml:space="preserve">1*</w:t>
      </w:r>
      <w:r>
        <w:rPr>
          <w:rFonts w:asciiTheme="majorHAnsi" w:hAnsiTheme="majorHAnsi" w:cstheme="majorHAnsi"/>
        </w:rPr>
        <w:t xml:space="preserve">, Liang Gao</w:t>
      </w:r>
      <w:r>
        <w:rPr>
          <w:rFonts w:asciiTheme="majorHAnsi" w:hAnsiTheme="majorHAnsi" w:cstheme="majorHAnsi"/>
          <w:vertAlign w:val="superscript"/>
        </w:rPr>
        <w:t xml:space="preserve">1**</w:t>
      </w:r>
      <w:r>
        <w:rPr>
          <w:rFonts w:asciiTheme="majorHAnsi" w:hAnsiTheme="majorHAnsi" w:cstheme="majorHAnsi"/>
        </w:rPr>
        <w:t xml:space="preserve">, Jijun Huang</w:t>
      </w:r>
      <w:r>
        <w:rPr>
          <w:rFonts w:asciiTheme="majorHAnsi" w:hAnsiTheme="majorHAnsi" w:cstheme="majorHAnsi"/>
          <w:vertAlign w:val="superscript"/>
        </w:rPr>
        <w:t xml:space="preserve">2**</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vertAlign w:val="superscript"/>
        </w:rPr>
        <w:t xml:space="preserve">1</w:t>
      </w:r>
      <w:r>
        <w:rPr>
          <w:rFonts w:asciiTheme="majorHAnsi" w:hAnsiTheme="majorHAnsi" w:cstheme="majorHAnsi"/>
        </w:rPr>
        <w:t xml:space="preserve">Department of Bioengineering, Samueli School of Engineering, University of California, Los Angeles, Los Angeles, CA, USA</w:t>
      </w:r>
    </w:p>
    <w:p>
      <w:pPr>
        <w:jc w:val="left"/>
        <w:rPr>
          <w:rFonts w:asciiTheme="majorHAnsi" w:hAnsiTheme="majorHAnsi" w:cstheme="majorHAnsi"/>
        </w:rPr>
      </w:pPr>
      <w:r>
        <w:rPr>
          <w:rFonts w:asciiTheme="majorHAnsi" w:hAnsiTheme="majorHAnsi" w:cstheme="majorHAnsi"/>
          <w:vertAlign w:val="superscript"/>
        </w:rPr>
        <w:t xml:space="preserve">2</w:t>
      </w:r>
      <w:r>
        <w:rPr>
          <w:rFonts w:asciiTheme="majorHAnsi" w:hAnsiTheme="majorHAnsi" w:cstheme="majorHAnsi"/>
        </w:rPr>
        <w:t xml:space="preserve">Department of Medicine, David Geffen School of Medicine, University of California, Los Angeles, Los Angeles, CA, USA</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*These authors contributed equally</w:t>
      </w:r>
    </w:p>
    <w:p>
      <w:pPr>
        <w:jc w:val="left"/>
        <w:rPr>
          <w:rFonts w:asciiTheme="majorHAnsi" w:hAnsiTheme="majorHAnsi" w:cstheme="majorHAnsi"/>
        </w:rPr>
      </w:pPr>
      <w:r>
        <w:rPr>
          <w:rFonts w:asciiTheme="majorHAnsi" w:hAnsiTheme="majorHAnsi" w:cstheme="majorHAnsi"/>
        </w:rPr>
        <w:t xml:space="preserve">**Co-senior authors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Email addresses:</w:t>
      </w:r>
    </w:p>
    <w:p>
      <w:pPr>
        <w:jc w:val="left"/>
        <w:rPr>
          <w:rFonts w:asciiTheme="majorHAnsi" w:hAnsiTheme="majorHAnsi" w:cstheme="majorHAnsi"/>
        </w:rPr>
      </w:pPr>
      <w:r>
        <w:rPr>
          <w:rFonts w:asciiTheme="majorHAnsi" w:hAnsiTheme="majorHAnsi" w:cstheme="majorHAnsi"/>
        </w:rPr>
        <w:t xml:space="preserve">Sanskriti Shindadkar (</w:t>
      </w:r>
      <w:r>
        <w:rPr>
          <w:rFonts w:asciiTheme="majorHAnsi" w:hAnsiTheme="majorHAnsi" w:cstheme="majorHAnsi"/>
          <w:color w:val="808080"/>
        </w:rPr>
        <w:t xml:space="preserve">institutional email</w:t>
      </w:r>
      <w:r>
        <w:rPr>
          <w:rFonts w:asciiTheme="majorHAnsi" w:hAnsiTheme="majorHAnsi" w:cstheme="majorHAnsi"/>
        </w:rPr>
        <w:t xml:space="preserve">)</w:t>
      </w:r>
    </w:p>
    <w:p>
      <w:pPr>
        <w:jc w:val="left"/>
        <w:rPr>
          <w:rFonts w:asciiTheme="majorHAnsi" w:hAnsiTheme="majorHAnsi" w:cstheme="majorHAnsi"/>
        </w:rPr>
      </w:pPr>
      <w:r>
        <w:rPr>
          <w:rFonts w:asciiTheme="majorHAnsi" w:hAnsiTheme="majorHAnsi" w:cstheme="majorHAnsi"/>
        </w:rPr>
        <w:t xml:space="preserve">Michelle Phan (</w:t>
      </w:r>
      <w:r>
        <w:rPr>
          <w:rFonts w:asciiTheme="majorHAnsi" w:hAnsiTheme="majorHAnsi" w:cstheme="majorHAnsi"/>
          <w:color w:val="808080"/>
        </w:rPr>
        <w:t xml:space="preserve">institutional email</w:t>
      </w:r>
      <w:r>
        <w:rPr>
          <w:rFonts w:asciiTheme="majorHAnsi" w:hAnsiTheme="majorHAnsi" w:cstheme="majorHAnsi"/>
        </w:rPr>
        <w:t xml:space="preserve">)</w:t>
      </w:r>
    </w:p>
    <w:p>
      <w:pPr>
        <w:jc w:val="left"/>
        <w:rPr>
          <w:rFonts w:asciiTheme="majorHAnsi" w:hAnsiTheme="majorHAnsi" w:cstheme="majorHAnsi"/>
        </w:rPr>
      </w:pPr>
      <w:r>
        <w:rPr>
          <w:rFonts w:asciiTheme="majorHAnsi" w:hAnsiTheme="majorHAnsi" w:cstheme="majorHAnsi"/>
        </w:rPr>
        <w:t xml:space="preserve">Yuqi Zhang (</w:t>
      </w:r>
      <w:r>
        <w:rPr>
          <w:rFonts w:asciiTheme="majorHAnsi" w:hAnsiTheme="majorHAnsi" w:cstheme="majorHAnsi"/>
          <w:color w:val="808080"/>
        </w:rPr>
        <w:t xml:space="preserve">institutional email</w:t>
      </w:r>
      <w:r>
        <w:rPr>
          <w:rFonts w:asciiTheme="majorHAnsi" w:hAnsiTheme="majorHAnsi" w:cstheme="majorHAnsi"/>
        </w:rPr>
        <w:t xml:space="preserve">)</w:t>
      </w:r>
    </w:p>
    <w:p>
      <w:pPr>
        <w:jc w:val="left"/>
        <w:rPr>
          <w:rFonts w:asciiTheme="majorHAnsi" w:hAnsiTheme="majorHAnsi" w:cstheme="majorHAnsi"/>
        </w:rPr>
      </w:pPr>
      <w:r>
        <w:rPr>
          <w:rFonts w:asciiTheme="majorHAnsi" w:hAnsiTheme="majorHAnsi" w:cstheme="majorHAnsi"/>
        </w:rPr>
        <w:t xml:space="preserve">Karley Tioran (</w:t>
      </w:r>
      <w:r>
        <w:rPr>
          <w:rFonts w:asciiTheme="majorHAnsi" w:hAnsiTheme="majorHAnsi" w:cstheme="majorHAnsi"/>
          <w:color w:val="808080"/>
        </w:rPr>
        <w:t xml:space="preserve">institutional email</w:t>
      </w:r>
      <w:r>
        <w:rPr>
          <w:rFonts w:asciiTheme="majorHAnsi" w:hAnsiTheme="majorHAnsi" w:cstheme="majorHAnsi"/>
        </w:rPr>
        <w:t xml:space="preserve">)</w:t>
      </w:r>
    </w:p>
    <w:p>
      <w:pPr>
        <w:jc w:val="left"/>
        <w:rPr>
          <w:rFonts w:asciiTheme="majorHAnsi" w:hAnsiTheme="majorHAnsi" w:cstheme="majorHAnsi"/>
        </w:rPr>
      </w:pPr>
      <w:r>
        <w:rPr>
          <w:rFonts w:asciiTheme="majorHAnsi" w:hAnsiTheme="majorHAnsi" w:cstheme="majorHAnsi"/>
        </w:rPr>
        <w:t xml:space="preserve">Liang Gao (</w:t>
      </w:r>
      <w:r>
        <w:rPr>
          <w:rFonts w:asciiTheme="majorHAnsi" w:hAnsiTheme="majorHAnsi" w:cstheme="majorHAnsi"/>
          <w:color w:val="808080"/>
        </w:rPr>
        <w:t xml:space="preserve">institutional email</w:t>
      </w:r>
      <w:r>
        <w:rPr>
          <w:rFonts w:asciiTheme="majorHAnsi" w:hAnsiTheme="majorHAnsi" w:cstheme="majorHAnsi"/>
        </w:rPr>
        <w:t xml:space="preserve">)</w:t>
      </w:r>
    </w:p>
    <w:p>
      <w:pPr>
        <w:jc w:val="left"/>
        <w:rPr>
          <w:rFonts w:asciiTheme="majorHAnsi" w:hAnsiTheme="majorHAnsi" w:cstheme="majorHAnsi"/>
        </w:rPr>
      </w:pPr>
      <w:r>
        <w:rPr>
          <w:rFonts w:asciiTheme="majorHAnsi" w:hAnsiTheme="majorHAnsi" w:cstheme="majorHAnsi"/>
        </w:rPr>
        <w:t xml:space="preserve">Jijun Huang (</w:t>
      </w:r>
      <w:r>
        <w:rPr>
          <w:rFonts w:asciiTheme="majorHAnsi" w:hAnsiTheme="majorHAnsi" w:cstheme="majorHAnsi"/>
          <w:color w:val="808080"/>
        </w:rPr>
        <w:t xml:space="preserve">institutional email</w:t>
      </w:r>
      <w:r>
        <w:rPr>
          <w:rFonts w:asciiTheme="majorHAnsi" w:hAnsiTheme="majorHAnsi" w:cstheme="majorHAnsi"/>
        </w:rPr>
        <w:t xml:space="preserve">)</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Corresponding author: </w:t>
      </w:r>
      <w:r>
        <w:rPr>
          <w:rFonts w:asciiTheme="majorHAnsi" w:hAnsiTheme="majorHAnsi" w:cstheme="majorHAnsi"/>
          <w:color w:val="808080"/>
        </w:rPr>
        <w:t xml:space="preserve">name (email)</w:t>
      </w:r>
    </w:p>
    <w:p w14:paraId="141ABDE5" w14:textId="77777777" w:rsidR="006E4797" w:rsidRPr="00F72213" w:rsidRDefault="006E4797" w:rsidP="00DA3C5C">
      <w:pPr>
        <w:pBdr>
          <w:top w:val="nil"/>
          <w:left w:val="nil"/>
          <w:bottom w:val="nil"/>
          <w:right w:val="nil"/>
          <w:between w:val="nil"/>
        </w:pBdr>
        <w:rPr>
          <w:rFonts w:asciiTheme="majorHAnsi" w:hAnsiTheme="majorHAnsi" w:cstheme="majorHAnsi"/>
          <w:color w:val="000000"/>
        </w:rPr>
      </w:pPr>
    </w:p>
    <w:p w14:paraId="60F3B8D4" w14:textId="77777777" w:rsidR="006E4797" w:rsidRPr="00F72213" w:rsidRDefault="00551D82" w:rsidP="00DA3C5C">
      <w:pPr>
        <w:rPr>
          <w:rFonts w:asciiTheme="majorHAnsi" w:hAnsiTheme="majorHAnsi" w:cstheme="majorHAnsi"/>
        </w:rPr>
      </w:pPr>
      <w:r w:rsidRPr="00F72213">
        <w:rPr>
          <w:rFonts w:asciiTheme="majorHAnsi" w:hAnsiTheme="majorHAnsi" w:cstheme="majorHAnsi"/>
          <w:b/>
        </w:rPr>
        <w:t>SUMMARY:</w:t>
      </w:r>
      <w:r w:rsidRPr="00F72213">
        <w:rPr>
          <w:rFonts w:asciiTheme="majorHAnsi" w:hAnsiTheme="majorHAnsi" w:cstheme="majorHAnsi"/>
        </w:rPr>
        <w:t xml:space="preserve"> </w:t>
      </w:r>
    </w:p>
    <w:p w14:paraId="01069787" w14:textId="77777777" w:rsidR="006E4797" w:rsidRPr="00F72213" w:rsidRDefault="00551D82" w:rsidP="00DA3C5C">
      <w:pPr>
        <w:rPr>
          <w:rFonts w:asciiTheme="majorHAnsi" w:hAnsiTheme="majorHAnsi" w:cstheme="majorHAnsi"/>
          <w:color w:val="808080"/>
        </w:rPr>
      </w:pPr>
      <w:r w:rsidRPr="00F72213">
        <w:rPr>
          <w:rFonts w:asciiTheme="majorHAnsi" w:hAnsiTheme="majorHAnsi" w:cstheme="majorHAnsi"/>
          <w:color w:val="808080"/>
        </w:rPr>
        <w:t>Enter text here.</w:t>
      </w:r>
    </w:p>
    <w:p w14:paraId="74EFC8D7" w14:textId="77777777" w:rsidR="006E4797" w:rsidRPr="00F72213" w:rsidRDefault="006E4797" w:rsidP="00DA3C5C">
      <w:pPr>
        <w:rPr>
          <w:rFonts w:asciiTheme="majorHAnsi" w:hAnsiTheme="majorHAnsi" w:cstheme="majorHAnsi"/>
        </w:rPr>
      </w:pPr>
    </w:p>
    <w:p w14:paraId="2DF8E628" w14:textId="77777777" w:rsidR="006E4797" w:rsidRPr="00F72213" w:rsidRDefault="00551D82" w:rsidP="00DA3C5C">
      <w:pPr>
        <w:rPr>
          <w:rFonts w:asciiTheme="majorHAnsi" w:hAnsiTheme="majorHAnsi" w:cstheme="majorHAnsi"/>
          <w:color w:val="808080"/>
        </w:rPr>
      </w:pPr>
      <w:r w:rsidRPr="00F72213">
        <w:rPr>
          <w:rFonts w:asciiTheme="majorHAnsi" w:hAnsiTheme="majorHAnsi" w:cstheme="majorHAnsi"/>
          <w:b/>
        </w:rPr>
        <w:t>ABSTRACT:</w:t>
      </w:r>
      <w:r w:rsidRPr="00F72213">
        <w:rPr>
          <w:rFonts w:asciiTheme="majorHAnsi" w:hAnsiTheme="majorHAnsi" w:cstheme="majorHAnsi"/>
        </w:rPr>
        <w:t xml:space="preserve"> </w:t>
      </w:r>
    </w:p>
    <w:p>
      <w:pPr>
        <w:jc w:val="left"/>
        <w:rPr>
          <w:rFonts w:asciiTheme="majorHAnsi" w:hAnsiTheme="majorHAnsi" w:cstheme="majorHAnsi"/>
        </w:rPr>
      </w:pPr>
      <w:r>
        <w:rPr>
          <w:rFonts w:asciiTheme="majorHAnsi" w:hAnsiTheme="majorHAnsi" w:cstheme="majorHAnsi"/>
        </w:rPr>
        <w:t xml:space="preserve">Heart disease is a highly prevalent public health burden affecting nearly 45% of adults in the United States and substantially reducing quality of life. Current heart failure models rely primarily on animal testing, toxicology assays, and 2D </w:t>
      </w:r>
      <w:r>
        <w:rPr>
          <w:rFonts w:asciiTheme="majorHAnsi" w:hAnsiTheme="majorHAnsi" w:cstheme="majorHAnsi"/>
          <w:i/>
        </w:rPr>
        <w:t xml:space="preserve">in vitro </w:t>
      </w:r>
      <w:r>
        <w:rPr>
          <w:rFonts w:asciiTheme="majorHAnsi" w:hAnsiTheme="majorHAnsi" w:cstheme="majorHAnsi"/>
        </w:rPr>
        <w:t xml:space="preserve">cell-based models. However, modeling the complexity of heart disease and heart failure requires a more precise, physiologically relevant, and highly tunable model.</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Here, we present the updated Heart-on-a-Miniscope platform, an all-in-one cardiac simulation system utilizing human induced pluripotent stem cell-derived cardiac organoids (hiPSC-COs). With a streamlined and user-friendly workflow, our system enables pacing control and rapid measurements of calcium dynamics and contractility in up to 6 cardiac organoids per run. This system enables cost-effective, portable, and pacing-controlled approach of studying the physiological and pharmacological effects of existing therapeutics and novel drug candidates in human cardiac tissue models. This system may help identify human-relevant effective drug dose while improving understanding of drug mechanisms and cardiotoxicity. We have developed a software module that automates the mechanical contractility and fluorescent signal analysis that helps quantity treatment effect sizes. Furthermore, the platform can serve as a scalable heart-on-chip evaluation system for cardiac function and drug-response studies. Preliminary data align with known trends for the tested antiarrhythmic drugs.</w:t>
      </w:r>
    </w:p>
    <w:p w14:paraId="2CF9CD54" w14:textId="77777777" w:rsidR="006E4797" w:rsidRPr="00F72213" w:rsidRDefault="006E4797" w:rsidP="00DA3C5C">
      <w:pPr>
        <w:rPr>
          <w:rFonts w:asciiTheme="majorHAnsi" w:hAnsiTheme="majorHAnsi" w:cstheme="majorHAnsi"/>
        </w:rPr>
      </w:pPr>
    </w:p>
    <w:p w14:paraId="0646E204" w14:textId="77777777" w:rsidR="006E4797" w:rsidRPr="00F72213" w:rsidRDefault="00551D82" w:rsidP="00DA3C5C">
      <w:pPr>
        <w:rPr>
          <w:rFonts w:asciiTheme="majorHAnsi" w:hAnsiTheme="majorHAnsi" w:cstheme="majorHAnsi"/>
          <w:color w:val="808080"/>
        </w:rPr>
      </w:pPr>
      <w:r w:rsidRPr="00F72213">
        <w:rPr>
          <w:rFonts w:asciiTheme="majorHAnsi" w:hAnsiTheme="majorHAnsi" w:cstheme="majorHAnsi"/>
          <w:b/>
        </w:rPr>
        <w:t>INTRODUCTION:</w:t>
      </w:r>
      <w:r w:rsidRPr="00F72213">
        <w:rPr>
          <w:rFonts w:asciiTheme="majorHAnsi" w:hAnsiTheme="majorHAnsi" w:cstheme="majorHAnsi"/>
        </w:rPr>
        <w:t xml:space="preserve"> </w:t>
      </w:r>
    </w:p>
    <w:p>
      <w:pPr>
        <w:jc w:val="left"/>
        <w:rPr>
          <w:rFonts w:asciiTheme="majorHAnsi" w:hAnsiTheme="majorHAnsi" w:cstheme="majorHAnsi"/>
        </w:rPr>
      </w:pPr>
      <w:r>
        <w:rPr>
          <w:rFonts w:asciiTheme="majorHAnsi" w:hAnsiTheme="majorHAnsi" w:cstheme="majorHAnsi"/>
        </w:rPr>
        <w:t xml:space="preserve">Heart failure (HF) affects ~64 million people worldwide and 6.2 million adults in the United States. Two major phenotypes of HF are recognized: HF with reduced ejection fraction (HFrEF) and HF with preserved ejection fraction (HFpEF). HFpEF is a syndrome marked by substantial morbidity and mortality, including a 35% 2-year rate of HF hospitalization and 14%  2-year mortality.</w:t>
      </w:r>
      <w:r>
        <w:rPr>
          <w:rFonts w:asciiTheme="majorHAnsi" w:hAnsiTheme="majorHAnsi" w:cstheme="majorHAnsi"/>
          <w:vertAlign w:val="superscript"/>
        </w:rPr>
        <w:t xml:space="preserve">1</w:t>
      </w:r>
      <w:r>
        <w:rPr>
          <w:rFonts w:asciiTheme="majorHAnsi" w:hAnsiTheme="majorHAnsi" w:cstheme="majorHAnsi"/>
        </w:rPr>
        <w:t xml:space="preserve"> Importantly, HFpEF has been rising over the past decade by 10% relative to HFrEF, and this gap is projected to increase owing to the aging of the population and the increasing prevalence of conditions that predispose to its development, particularly hypertension, obesity, metabolic syndrome, and diabetes.</w:t>
      </w:r>
      <w:r>
        <w:rPr>
          <w:rFonts w:asciiTheme="majorHAnsi" w:hAnsiTheme="majorHAnsi" w:cstheme="majorHAnsi"/>
          <w:vertAlign w:val="superscript"/>
        </w:rPr>
        <w:t xml:space="preserve">2</w:t>
      </w:r>
      <w:r>
        <w:rPr>
          <w:rFonts w:asciiTheme="majorHAnsi" w:hAnsiTheme="majorHAnsi" w:cstheme="majorHAnsi"/>
        </w:rPr>
        <w:t xml:space="preserve"> Already, HFpEF is the most common form of HF. Therapeutic options are limited for HFpEF, with large-scale clinical trials largely failing to demonstrate conclusive benefits.</w:t>
      </w:r>
      <w:r>
        <w:rPr>
          <w:rFonts w:asciiTheme="majorHAnsi" w:hAnsiTheme="majorHAnsi" w:cstheme="majorHAnsi"/>
          <w:vertAlign w:val="superscript"/>
        </w:rPr>
        <w:t xml:space="preserve">3</w:t>
      </w:r>
      <w:r>
        <w:rPr>
          <w:rFonts w:asciiTheme="majorHAnsi" w:hAnsiTheme="majorHAnsi" w:cstheme="majorHAnsi"/>
        </w:rPr>
        <w:t xml:space="preserve"> Yet, therapeutic progress remains slow, mainly due to a lack of validated, human-relevant models for disease mechanisms and drug screening.</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Over 90% of therapies fail human clinical trials in part because animal and mathematical models do not fully capture how drugs interact with the human body.</w:t>
      </w:r>
      <w:r>
        <w:rPr>
          <w:rFonts w:asciiTheme="majorHAnsi" w:hAnsiTheme="majorHAnsi" w:cstheme="majorHAnsi"/>
          <w:vertAlign w:val="superscript"/>
        </w:rPr>
        <w:t xml:space="preserve">4 </w:t>
      </w:r>
      <w:r>
        <w:rPr>
          <w:rFonts w:asciiTheme="majorHAnsi" w:hAnsiTheme="majorHAnsi" w:cstheme="majorHAnsi"/>
        </w:rPr>
        <w:t xml:space="preserve">The multicellular industry standard, the dog Purkinje fiber assay, has been reported to show only a 33% correlation with human physiology.” </w:t>
      </w:r>
      <w:r>
        <w:rPr>
          <w:rFonts w:asciiTheme="majorHAnsi" w:hAnsiTheme="majorHAnsi" w:cstheme="majorHAnsi"/>
          <w:vertAlign w:val="superscript"/>
        </w:rPr>
        <w:t xml:space="preserve">5</w:t>
      </w:r>
      <w:r>
        <w:rPr>
          <w:rFonts w:asciiTheme="majorHAnsi" w:hAnsiTheme="majorHAnsi" w:cstheme="majorHAnsi"/>
        </w:rPr>
        <w:t xml:space="preserve"> This is also true for cardiovascular therapies, where only 5-10% make it to market.</w:t>
      </w:r>
      <w:r>
        <w:rPr>
          <w:rFonts w:asciiTheme="majorHAnsi" w:hAnsiTheme="majorHAnsi" w:cstheme="majorHAnsi"/>
          <w:vertAlign w:val="superscript"/>
        </w:rPr>
        <w:t xml:space="preserve">6</w:t>
      </w:r>
      <w:r>
        <w:rPr>
          <w:rFonts w:asciiTheme="majorHAnsi" w:hAnsiTheme="majorHAnsi" w:cstheme="majorHAnsi"/>
        </w:rPr>
        <w:t xml:space="preserve"> Additionally, drug research and testing are very costly. The estimated average cost of drug development is $172.7 million, rising to $515.8 million when the cost of failures is included.</w:t>
      </w:r>
      <w:r>
        <w:rPr>
          <w:rFonts w:asciiTheme="majorHAnsi" w:hAnsiTheme="majorHAnsi" w:cstheme="majorHAnsi"/>
          <w:vertAlign w:val="superscript"/>
        </w:rPr>
        <w:t xml:space="preserve">7</w:t>
      </w:r>
      <w:r>
        <w:rPr>
          <w:rFonts w:asciiTheme="majorHAnsi" w:hAnsiTheme="majorHAnsi" w:cstheme="majorHAnsi"/>
        </w:rPr>
        <w:t xml:space="preserve"> Animal testing for drugs alone can cost from $2 to $4 million.</w:t>
      </w:r>
      <w:r>
        <w:rPr>
          <w:rFonts w:asciiTheme="majorHAnsi" w:hAnsiTheme="majorHAnsi" w:cstheme="majorHAnsi"/>
          <w:vertAlign w:val="superscript"/>
        </w:rPr>
        <w:t xml:space="preserve">8</w:t>
      </w:r>
      <w:r>
        <w:rPr>
          <w:rFonts w:asciiTheme="majorHAnsi" w:hAnsiTheme="majorHAnsi" w:cstheme="majorHAnsi"/>
        </w:rPr>
        <w:t xml:space="preserve"> Given the rising prevalence of HFpEF, and the limitations in existing therapeutics.</w:t>
      </w:r>
      <w:r>
        <w:rPr>
          <w:rFonts w:asciiTheme="majorHAnsi" w:hAnsiTheme="majorHAnsi" w:cstheme="majorHAnsi"/>
          <w:vertAlign w:val="superscript"/>
        </w:rPr>
        <w:t xml:space="preserve">6</w:t>
      </w:r>
      <w:r>
        <w:rPr>
          <w:rFonts w:asciiTheme="majorHAnsi" w:hAnsiTheme="majorHAnsi" w:cstheme="majorHAnsi"/>
        </w:rPr>
        <w:t xml:space="preserve"> It is imperative that we are able to accurately model the impact of new potential drug therapies for cardiovascular purposes.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A new promising approach, that has been pre-clinically validated, is using cardiovascular organoids to model drug effects instead. Cardiac organoids are 3D cardiac tissue structures derived from pluripotent stem cells. They can better mimic the structure, electrical activity, and cellular microenvironment of human hearts than animal models and 2D tissue alternatives.</w:t>
      </w:r>
      <w:r>
        <w:rPr>
          <w:rFonts w:asciiTheme="majorHAnsi" w:hAnsiTheme="majorHAnsi" w:cstheme="majorHAnsi"/>
          <w:vertAlign w:val="superscript"/>
        </w:rPr>
        <w:t xml:space="preserve">9</w:t>
      </w:r>
      <w:r>
        <w:rPr>
          <w:rFonts w:asciiTheme="majorHAnsi" w:hAnsiTheme="majorHAnsi" w:cstheme="majorHAnsi"/>
        </w:rPr>
        <w:t xml:space="preserve"> They have also been experimentally shown to closely predict half-maximal effective (EC</w:t>
      </w:r>
      <w:r>
        <w:rPr>
          <w:rFonts w:asciiTheme="majorHAnsi" w:hAnsiTheme="majorHAnsi" w:cstheme="majorHAnsi"/>
          <w:vertAlign w:val="subscript"/>
        </w:rPr>
        <w:t xml:space="preserve">50</w:t>
      </w:r>
      <w:r>
        <w:rPr>
          <w:rFonts w:asciiTheme="majorHAnsi" w:hAnsiTheme="majorHAnsi" w:cstheme="majorHAnsi"/>
        </w:rPr>
        <w:t xml:space="preserve">)and inhibitory concentration (IC</w:t>
      </w:r>
      <w:r>
        <w:rPr>
          <w:rFonts w:asciiTheme="majorHAnsi" w:hAnsiTheme="majorHAnsi" w:cstheme="majorHAnsi"/>
          <w:vertAlign w:val="subscript"/>
        </w:rPr>
        <w:t xml:space="preserve">50</w:t>
      </w:r>
      <w:r>
        <w:rPr>
          <w:rFonts w:asciiTheme="majorHAnsi" w:hAnsiTheme="majorHAnsi" w:cstheme="majorHAnsi"/>
        </w:rPr>
        <w:t xml:space="preserve">) of drug candidates, which is where many drugs fail in Phase II and Phase III clinical trials.</w:t>
      </w:r>
      <w:r>
        <w:rPr>
          <w:rFonts w:asciiTheme="majorHAnsi" w:hAnsiTheme="majorHAnsi" w:cstheme="majorHAnsi"/>
          <w:vertAlign w:val="superscript"/>
        </w:rPr>
        <w:t xml:space="preserve">10</w:t>
      </w:r>
      <w:r>
        <w:rPr>
          <w:rFonts w:asciiTheme="majorHAnsi" w:hAnsiTheme="majorHAnsi" w:cstheme="majorHAnsi"/>
        </w:rPr>
        <w:t xml:space="preserve"> Modeling HFpEF in particular is challenging; while animal models can capture organ-level phenotypes, the inter- and intracellular coordination changes remain incompletely understood and may involve human-cardiomyocyte-specific alterations in myofilament and sarcomere function that are not reproducibly recapitulated across animal models, making carefully controlled human organoid models a promising platform for mechanistic study.</w:t>
      </w:r>
      <w:r>
        <w:rPr>
          <w:rFonts w:asciiTheme="majorHAnsi" w:hAnsiTheme="majorHAnsi" w:cstheme="majorHAnsi"/>
          <w:vertAlign w:val="superscript"/>
        </w:rPr>
        <w:t xml:space="preserve">11</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There are only two FDA-approved medications for HFpEF: however, their effective mechanisms in HFpEF  are not well understood. While the macro-structural changes in HFpEF, including thickened and ridged heart walls, and stiffness limiting relaxation, are understood, the cellular level changes are not as well characterized. It is hypothesized that there are changes in Ca</w:t>
      </w:r>
      <w:r>
        <w:rPr>
          <w:rFonts w:asciiTheme="majorHAnsi" w:hAnsiTheme="majorHAnsi" w:cstheme="majorHAnsi"/>
          <w:vertAlign w:val="superscript"/>
        </w:rPr>
        <w:t xml:space="preserve">2+</w:t>
      </w:r>
      <w:r>
        <w:rPr>
          <w:rFonts w:asciiTheme="majorHAnsi" w:hAnsiTheme="majorHAnsi" w:cstheme="majorHAnsi"/>
        </w:rPr>
        <w:t xml:space="preserve"> signals and diastolic relaxation that lead to sarcomere stiffness, which our platform will investigate.  Organoids allow us to observe the causal and mechanistic links between medications and their effects, enabling greater verification and a more accurate understanding of pathways.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However, most traditional electrophysiology assays were made for single cells or 2D monolayers, and are not optimal for imaging specialized 3D organoids.</w:t>
      </w:r>
      <w:r>
        <w:rPr>
          <w:rFonts w:asciiTheme="majorHAnsi" w:hAnsiTheme="majorHAnsi" w:cstheme="majorHAnsi"/>
          <w:vertAlign w:val="superscript"/>
        </w:rPr>
        <w:t xml:space="preserve">5</w:t>
      </w:r>
      <w:r>
        <w:rPr>
          <w:rFonts w:asciiTheme="majorHAnsi" w:hAnsiTheme="majorHAnsi" w:cstheme="majorHAnsi"/>
        </w:rPr>
        <w:t xml:space="preserve"> The traditional multi-electrode array (MEA) and patch clamp methods provide high accuracy in recording electrical signals from cardiomyocytes, but are labor-intensive, low-throughput, and poorly suited for 3D organoids. The miniscope can address this by effectively collecting electrical signals and capturing images. The miniscope setup is also significantly cheaper than traditional full-size microscopes while still providing sufficient data for drug testing. This eliminates the need for animal testing which reduces the cost of research and a more ethical drug testing method. The reduction of costs will help lower the barrier to cardiovascular research, fostering greater advances in therapeutic solutions.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Overall, the traditional MEA/patch clamp is high-resolution but more costly, low-throughput, complex, and poorly suited for 3D organoids; and standard heart-on-chip imaging is a helpful trade-off between full-size microscopes (good resolution, bulky) and lens-free sensors (compact, lower resolution).</w:t>
      </w:r>
      <w:r>
        <w:rPr>
          <w:rFonts w:asciiTheme="majorHAnsi" w:hAnsiTheme="majorHAnsi" w:cstheme="majorHAnsi"/>
          <w:vertAlign w:val="superscript"/>
        </w:rPr>
        <w:t xml:space="preserve">5</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The miniscope can be a comparable alternative in four areas: imaging quality, mechanical sensing, calcium imaging quantification, and accuracy for drug regimens. Referring to imaging quality,</w:t>
      </w:r>
      <w:r>
        <w:rPr>
          <w:rFonts w:asciiTheme="majorHAnsi" w:hAnsiTheme="majorHAnsi" w:cstheme="majorHAnsi"/>
          <w:vertAlign w:val="superscript"/>
        </w:rPr>
        <w:t xml:space="preserve">12</w:t>
      </w:r>
      <w:r>
        <w:rPr>
          <w:rFonts w:asciiTheme="majorHAnsi" w:hAnsiTheme="majorHAnsi" w:cstheme="majorHAnsi"/>
        </w:rPr>
        <w:t xml:space="preserve"> the miniscope has a larger FOV (1mm +), improved spatial resolution and throughput (GRIN → EWL lens switch), reduced soldering of the breadboard for lower complexity, a single fiber optic cable connection, and a maintained working distance (up to ~1mm). To improve mechanical sensing, our pipeline will use 2D spatial information and time inputs via our video processing software to determine additional information about cardiomyocyte contractility. We will make our code open-source and replicable for other researchers. To build on prior research in calcium imaging, we will use a green fluorescent Ca</w:t>
      </w:r>
      <w:r>
        <w:rPr>
          <w:rFonts w:asciiTheme="majorHAnsi" w:hAnsiTheme="majorHAnsi" w:cstheme="majorHAnsi"/>
          <w:vertAlign w:val="superscript"/>
        </w:rPr>
        <w:t xml:space="preserve">2+</w:t>
      </w:r>
      <w:r>
        <w:rPr>
          <w:rFonts w:asciiTheme="majorHAnsi" w:hAnsiTheme="majorHAnsi" w:cstheme="majorHAnsi"/>
        </w:rPr>
        <w:t xml:space="preserve"> dye, Fluo4, to label free calcium in cardiomyocytes. As such, the system's improved resolution will enable better quantification of free calcium concentration.</w:t>
      </w:r>
      <w:r>
        <w:rPr>
          <w:rFonts w:asciiTheme="majorHAnsi" w:hAnsiTheme="majorHAnsi" w:cstheme="majorHAnsi"/>
          <w:vertAlign w:val="superscript"/>
        </w:rPr>
        <w:t xml:space="preserve">9</w:t>
      </w:r>
      <w:r>
        <w:rPr>
          <w:rFonts w:asciiTheme="majorHAnsi" w:hAnsiTheme="majorHAnsi" w:cstheme="majorHAnsi"/>
        </w:rPr>
        <w:t xml:space="preserve"> Regarding improvements from prior research in drug regimens: we hypothesized that HFpEF can be simulated with a combination of stress conditions mimicking obesity, diabetes, and hypertension, while the change of the cardiac stiffness is reflected in the Ca2+ dynamics and contraction features under external pacing, this alteration may affect the response to cardiac drugs.</w:t>
      </w:r>
      <w:r>
        <w:rPr>
          <w:rFonts w:asciiTheme="majorHAnsi" w:hAnsiTheme="majorHAnsi" w:cstheme="majorHAnsi"/>
          <w:vertAlign w:val="superscript"/>
        </w:rPr>
        <w:t xml:space="preserve">14</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Figure 1 depicts the layout of the miniscope. This is a wide-field epifluorescent microscope, which uses a blue LED for excitation, which is diffused by the half-ball lens and focused on the sample through the objective module, which contains several lens components. The achromat lenses correct for color aberrations automatically. The introduction of an electrowetting lens allows for precise control of the focal length and depth of focus, improving light throughput through adaptive optics methods, which modulate the wavefront. The fluorescence passes through the long pass dichroic and is collected by a CMOS sensor. Fluorescent intensity vs time plots reflect the desired calcium concentration transience plots, quantifying intracellular calcium concentration through exogenous calcium dye (Flur-4). The miniscope is integrated into a larger experimental setup incorporating a housing for the organoid chip, a modular stand as well as the pacing unit. The set up is illustrated by figure 2.</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[Place </w:t>
      </w:r>
      <w:r>
        <w:rPr>
          <w:rFonts w:asciiTheme="majorHAnsi" w:hAnsiTheme="majorHAnsi" w:cstheme="majorHAnsi"/>
          <w:b/>
        </w:rPr>
        <w:t xml:space="preserve">Figure 1</w:t>
      </w:r>
      <w:r>
        <w:rPr>
          <w:rFonts w:asciiTheme="majorHAnsi" w:hAnsiTheme="majorHAnsi" w:cstheme="majorHAnsi"/>
        </w:rPr>
        <w:t xml:space="preserve"> here]</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[Place </w:t>
      </w:r>
      <w:r>
        <w:rPr>
          <w:rFonts w:asciiTheme="majorHAnsi" w:hAnsiTheme="majorHAnsi" w:cstheme="majorHAnsi"/>
          <w:b/>
        </w:rPr>
        <w:t xml:space="preserve">Figure 2</w:t>
      </w:r>
      <w:r>
        <w:rPr>
          <w:rFonts w:asciiTheme="majorHAnsi" w:hAnsiTheme="majorHAnsi" w:cstheme="majorHAnsi"/>
        </w:rPr>
        <w:t xml:space="preserve"> here]</w:t>
      </w:r>
    </w:p>
    <w:p w14:paraId="48BA6B0A" w14:textId="77777777" w:rsidR="006E4797" w:rsidRPr="00F72213" w:rsidRDefault="006E4797" w:rsidP="00DA3C5C">
      <w:pPr>
        <w:rPr>
          <w:rFonts w:asciiTheme="majorHAnsi" w:hAnsiTheme="majorHAnsi" w:cstheme="majorHAnsi"/>
          <w:b/>
        </w:rPr>
      </w:pPr>
    </w:p>
    <w:p w14:paraId="32A92E82" w14:textId="77777777" w:rsidR="006E4797" w:rsidRPr="00F72213" w:rsidRDefault="00551D82" w:rsidP="00DA3C5C">
      <w:pPr>
        <w:rPr>
          <w:rFonts w:asciiTheme="majorHAnsi" w:hAnsiTheme="majorHAnsi" w:cstheme="majorHAnsi"/>
          <w:color w:val="808080"/>
        </w:rPr>
      </w:pPr>
      <w:r w:rsidRPr="00F72213">
        <w:rPr>
          <w:rFonts w:asciiTheme="majorHAnsi" w:hAnsiTheme="majorHAnsi" w:cstheme="majorHAnsi"/>
          <w:b/>
        </w:rPr>
        <w:t>PROTOCOL:</w:t>
      </w:r>
      <w:r w:rsidRPr="00F72213">
        <w:rPr>
          <w:rFonts w:asciiTheme="majorHAnsi" w:hAnsiTheme="majorHAnsi" w:cstheme="majorHAnsi"/>
        </w:rPr>
        <w:t xml:space="preserve"> </w:t>
      </w:r>
    </w:p>
    <w:p>
      <w:pPr/>
      <w:r>
        <w:t>The following subsections provide step-by-step instructions describing how the authors developed and designed their protocol, as well as what scientists must do to follow it.</w:t>
      </w:r>
    </w:p>
    <w:p>
      <w:pPr>
        <w:jc w:val="left"/>
        <w:rPr>
          <w:rFonts w:asciiTheme="majorHAnsi" w:hAnsiTheme="majorHAnsi" w:cstheme="majorHAnsi"/>
        </w:rPr>
      </w:pPr>
      <w:r>
        <w:t>Cardiac organoids labeled with a calcium indicator dye (Cal-520) were imaged under baseline (control) conditions to establish a reference for calcium transient amplitude, duration, and frequency. Following baseline recording, each drug was perfused into the culture medium at a known concentration range previously validated in literature. Time-lapse fluorescence data were collected continuously to capture transient morphology before, during, and after drug exposure.</w:t>
      </w:r>
    </w:p>
    <w:p>
      <w:pPr>
        <w:jc w:val="left"/>
        <w:rPr>
          <w:rFonts w:asciiTheme="majorHAnsi" w:hAnsiTheme="majorHAnsi" w:cstheme="majorHAnsi"/>
        </w:rPr>
      </w:pPr>
    </w:p>
    <w:p>
      <w:pPr>
        <w:jc w:val="left"/>
        <w:rPr>
          <w:rFonts w:asciiTheme="majorHAnsi" w:hAnsiTheme="majorHAnsi" w:cstheme="majorHAnsi"/>
        </w:rPr>
      </w:pPr>
      <w:r>
        <w:t>Organoids were stimulated by applying an electric field (5-15 V, biphasic pulses at 0.5-2 Hz) via carbon electrodes to ensure synchronized pulsation and consistent comparisons across different conditions. The construction of the circuits and coding the electrical stimulations were also major components of the miniscope project. Table 1 listed the drugs, their expected mechanism, and outcomes.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[Place </w:t>
      </w:r>
      <w:r>
        <w:rPr>
          <w:rFonts w:asciiTheme="majorHAnsi" w:hAnsiTheme="majorHAnsi" w:cstheme="majorHAnsi"/>
          <w:b/>
        </w:rPr>
        <w:t xml:space="preserve">Figure 3</w:t>
      </w:r>
      <w:r>
        <w:rPr>
          <w:rFonts w:asciiTheme="majorHAnsi" w:hAnsiTheme="majorHAnsi" w:cstheme="majorHAnsi"/>
        </w:rPr>
        <w:t xml:space="preserve"> here]</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b/>
          <w:i/>
        </w:rPr>
        <w:t xml:space="preserve">IIIa. Miniscope Assembly</w:t>
      </w:r>
    </w:p>
    <w:p>
      <w:pPr>
        <w:jc w:val="left"/>
        <w:rPr>
          <w:rFonts w:asciiTheme="majorHAnsi" w:hAnsiTheme="majorHAnsi" w:cstheme="majorHAnsi"/>
        </w:rPr>
      </w:pPr>
    </w:p>
    <w:p>
      <w:pPr>
        <w:jc w:val="left"/>
        <w:rPr>
          <w:rFonts w:asciiTheme="majorHAnsi" w:hAnsiTheme="majorHAnsi" w:cstheme="majorHAnsi"/>
        </w:rPr>
      </w:pPr>
      <w:r>
        <w:t>1. Follow the standard protocol provided on the UCLA Miniscope GitHub and Wikipedia pages for Miniscope version 4, as illustrated in Figure 3.</w:t>
      </w:r>
    </w:p>
    <w:p>
      <w:pPr/>
      <w:r>
        <w:t>2. Place the excitation and emission filters, two achromat lenses, and electrowetting lens in their respective positions in the optical module.</w:t>
      </w:r>
    </w:p>
    <w:p>
      <w:pPr/>
      <w:r>
        <w:t>3. Check the system alignment.</w:t>
      </w:r>
    </w:p>
    <w:p>
      <w:pPr/>
      <w:r>
        <w:t>4. Test the miniscope against the brightfield and fluorescence microscopes available in the lab.</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b/>
          <w:i/>
        </w:rPr>
        <w:t xml:space="preserve">IIIb. Chip Fabrication</w:t>
      </w:r>
    </w:p>
    <w:p>
      <w:pPr>
        <w:jc w:val="left"/>
        <w:rPr>
          <w:rFonts w:asciiTheme="majorHAnsi" w:hAnsiTheme="majorHAnsi" w:cstheme="majorHAnsi"/>
        </w:rPr>
      </w:pPr>
    </w:p>
    <w:p>
      <w:pPr>
        <w:jc w:val="left"/>
        <w:rPr>
          <w:rFonts w:asciiTheme="majorHAnsi" w:hAnsiTheme="majorHAnsi" w:cstheme="majorHAnsi"/>
        </w:rPr>
      </w:pPr>
      <w:r>
        <w:t>The chip was designed to mainly house the organoids for imaging and pacing. It consisted of two layers: a Polydimethylsiloxanes (PDMS) layer and a 24 × 50 mm No. 0 coverslip. The process of making the chip was similar to how Tirgar, P. et al. created their own Heart-on-a-Chip; we used the same mold design created by Tirgar, P. et al. to prepare the PDMS design. The procedure is as follows:</w:t>
      </w:r>
    </w:p>
    <w:p>
      <w:pPr/>
      <w:r>
        <w:t>1) Print the mold with a FormLab Form 4 printer and Black Resin v5, followed by a standard UV curing treatment. An alternative printer may be used if it provides similar printing quality and resolution.</w:t>
      </w:r>
    </w:p>
    <w:p>
      <w:pPr/>
      <w:r>
        <w:t>2) Prepare the PDMS with a standard 10:1 ratio of base to curing agent. Pour it into the mold, vacuum-desiccate it to remove bubbles, and place it in a 60 °C oven overnight to cure.</w:t>
      </w:r>
    </w:p>
    <w:p>
      <w:pPr/>
      <w:r>
        <w:t>3) Take the PDMS layer out of the mold.</w:t>
      </w:r>
    </w:p>
    <w:p>
      <w:pPr/>
      <w:r>
        <w:t>4) Cut seven wells using a 1 mm biopsy punch.</w:t>
      </w:r>
    </w:p>
    <w:p>
      <w:pPr/>
      <w:r>
        <w:t>NOTE: The chip technically accommodated seven organoids, but the authors of the original Heart-on-a-Miniscope paper recommended loading only six organoids to prevent culture medium from overflowing</w:t>
      </w:r>
      <w:r>
        <w:rPr>
          <w:vertAlign w:val="superscript"/>
        </w:rPr>
        <w:t>5</w:t>
      </w:r>
      <w:r>
        <w:t>.</w:t>
      </w:r>
    </w:p>
    <w:p>
      <w:pPr/>
      <w:r>
        <w:t>5) To assemble the PDMS layer and glass coverslip, oxygen-plasma-treat both surfaces for 4 minutes to allow them to adhere, as shown in Figure 4. Use Kapton tape to hold the coverslip in place during treatment.</w:t>
      </w:r>
    </w:p>
    <w:p>
      <w:pPr/>
      <w:r>
        <w:t>6) Use a scalpel to carve a thin channel for the carbon electrodes, as shown in the mold. Place the carbon electrodes in the chip to allow pacing by the pacing system.</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[Place </w:t>
      </w:r>
      <w:r>
        <w:rPr>
          <w:rFonts w:asciiTheme="majorHAnsi" w:hAnsiTheme="majorHAnsi" w:cstheme="majorHAnsi"/>
          <w:b/>
        </w:rPr>
        <w:t xml:space="preserve">Figure 4</w:t>
      </w:r>
      <w:r>
        <w:rPr>
          <w:rFonts w:asciiTheme="majorHAnsi" w:hAnsiTheme="majorHAnsi" w:cstheme="majorHAnsi"/>
        </w:rPr>
        <w:t xml:space="preserve"> here]</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b/>
          <w:i/>
        </w:rPr>
        <w:t xml:space="preserve">IIIc. Stage Design</w:t>
      </w:r>
    </w:p>
    <w:p>
      <w:pPr>
        <w:jc w:val="left"/>
        <w:rPr>
          <w:rFonts w:asciiTheme="majorHAnsi" w:hAnsiTheme="majorHAnsi" w:cstheme="majorHAnsi"/>
        </w:rPr>
      </w:pPr>
    </w:p>
    <w:p>
      <w:pPr>
        <w:jc w:val="left"/>
        <w:rPr>
          <w:rFonts w:asciiTheme="majorHAnsi" w:hAnsiTheme="majorHAnsi" w:cstheme="majorHAnsi"/>
        </w:rPr>
      </w:pPr>
      <w:r>
        <w:t>The stage functioned similarly to a standard microscope setup. It was designed using both Onshape and Fusion 360 and 3D printed on a Prusa Core 1 and Bambu Lab H2D with PLA filament. The stage contained a holder for the miniscope, which was designed by the creators of the UCLA miniscope. The holder was attached to a slider that allowed for 2D planar motion in both X and Y directions. This freedom of movement allowed different and larger chip designs to be viewed. In order to use the stage:</w:t>
      </w:r>
    </w:p>
    <w:p>
      <w:pPr/>
      <w:r>
        <w:t>1) Print the components available in the GitHub repository using a high-quality 3D printer. Plastic may be used: https://github.com/sanskriti-ss/miniscope_fullstack/tree/main/Miniscope%20Housing%203D%20Print%20And%20Laser%20Cut%20Files</w:t>
      </w:r>
    </w:p>
    <w:p>
      <w:pPr/>
      <w:r>
        <w:t>2) Assemble the components using screws.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b/>
          <w:i/>
        </w:rPr>
        <w:t xml:space="preserve">IIId. Electrode Design</w:t>
      </w:r>
    </w:p>
    <w:p>
      <w:pPr>
        <w:jc w:val="left"/>
        <w:rPr>
          <w:rFonts w:asciiTheme="majorHAnsi" w:hAnsiTheme="majorHAnsi" w:cstheme="majorHAnsi"/>
        </w:rPr>
      </w:pPr>
    </w:p>
    <w:p>
      <w:pPr>
        <w:jc w:val="left"/>
        <w:rPr>
          <w:rFonts w:asciiTheme="majorHAnsi" w:hAnsiTheme="majorHAnsi" w:cstheme="majorHAnsi"/>
        </w:rPr>
      </w:pPr>
      <w:r>
        <w:t>An integral part of our circuit design in Figure 5, the electrode was based on the MyoPulser design, from Ott and Jung.¹¹ It was programmed using Arduino Mega, with an L298 driver used to control pulse delivery. Drivers controlled the biphasic pulse, which could be modified by pressing different buttons on the system. While a button was pressed, a screen displayed the desired pacing frequency, allowing the user to see the selected frequency in real time. There was also a button to control the on and off state of the pulse, with the pulse delivered only while the button was pressed. Lab-grade pacing systems cost hundreds (or thousands) of dollars, while this pacing system was assembled for under 100 dollars. It was validated using a voltmeter. The electrode output was connected to carbon electrodes in the chip to electrically excite the cells. The procedure for assembling this Arduino-based electrode was as follows:</w:t>
      </w:r>
    </w:p>
    <w:p>
      <w:pPr/>
      <w:r>
        <w:t>1) Assemble and wire the components as shown in Figure X. Ensure that the battery is sufficiently charged.</w:t>
      </w:r>
    </w:p>
    <w:p>
      <w:pPr/>
      <w:r>
        <w:t>2) Wrap copper wire to connect the wires to the electrodes.</w:t>
      </w:r>
    </w:p>
    <w:p>
      <w:pPr/>
      <w:r>
        <w:t>3) Run the Arduino code provided.</w:t>
      </w:r>
    </w:p>
    <w:p>
      <w:pPr/>
      <w:r>
        <w:t>4) Compare the readings on the LED screen with those on a commercial pacer to establish baseline accuracy.</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[Place </w:t>
      </w:r>
      <w:r>
        <w:rPr>
          <w:rFonts w:asciiTheme="majorHAnsi" w:hAnsiTheme="majorHAnsi" w:cstheme="majorHAnsi"/>
          <w:b/>
        </w:rPr>
        <w:t xml:space="preserve">Figure 5</w:t>
      </w:r>
      <w:r>
        <w:rPr>
          <w:rFonts w:asciiTheme="majorHAnsi" w:hAnsiTheme="majorHAnsi" w:cstheme="majorHAnsi"/>
        </w:rPr>
        <w:t xml:space="preserve"> here]</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b/>
          <w:i/>
        </w:rPr>
        <w:t xml:space="preserve">IIIe. Organoid Engineering and Placement</w:t>
      </w:r>
    </w:p>
    <w:p>
      <w:pPr>
        <w:jc w:val="left"/>
        <w:rPr>
          <w:rFonts w:asciiTheme="majorHAnsi" w:hAnsiTheme="majorHAnsi" w:cstheme="majorHAnsi"/>
        </w:rPr>
      </w:pPr>
    </w:p>
    <w:p>
      <w:pPr>
        <w:jc w:val="left"/>
        <w:rPr>
          <w:rFonts w:asciiTheme="majorHAnsi" w:hAnsiTheme="majorHAnsi" w:cstheme="majorHAnsi"/>
        </w:rPr>
      </w:pPr>
      <w:r>
        <w:t>1) Generate cardiac organoids from human induced pluripotent stem cells following the procedure described by Pocock et al.</w:t>
      </w:r>
      <w:r>
        <w:rPr>
          <w:vertAlign w:val="superscript"/>
        </w:rPr>
        <w:t>10</w:t>
      </w:r>
      <w:r>
        <w:t>.</w:t>
      </w:r>
    </w:p>
    <w:p>
      <w:pPr/>
      <w:r>
        <w:t>2) Maintain the organoids in standard growth medium. Assess their size and maturation by light microscopy. Expected observations: during electrical pacing at physiological frequencies (1 to 1.5 Hz), mature organoids should contract synchronously with the pacing stimulus, whereas immature organoids may exhibit slower, irregular, or inconsistent responses. Mature organoids typically measure 300 to 500 micrometers in diameter.</w:t>
      </w:r>
    </w:p>
    <w:p>
      <w:pPr/>
      <w:r>
        <w:t>3) Before imaging, incubate the organoids with a calcium-sensitive fluorescent dye. Excite the dye at 425 to 450 nanometers and collect emitted fluorescence at 500 to 550 nanometers.</w:t>
      </w:r>
    </w:p>
    <w:p>
      <w:pPr/>
      <w:r>
        <w:t>4) Transfer the organoids into the wells of the PDMS chip described above. Add sufficient medium to ensure electrical continuity across wells.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b/>
          <w:i/>
        </w:rPr>
        <w:t xml:space="preserve">IIIf. Drugs to be Tested</w:t>
      </w:r>
    </w:p>
    <w:p>
      <w:pPr>
        <w:jc w:val="left"/>
        <w:rPr>
          <w:rFonts w:asciiTheme="majorHAnsi" w:hAnsiTheme="majorHAnsi" w:cstheme="majorHAnsi"/>
        </w:rPr>
      </w:pPr>
    </w:p>
    <w:p>
      <w:pPr>
        <w:jc w:val="left"/>
        <w:rPr>
          <w:rFonts w:asciiTheme="majorHAnsi" w:hAnsiTheme="majorHAnsi" w:cstheme="majorHAnsi"/>
        </w:rPr>
      </w:pPr>
      <w:r>
        <w:t>We evaluated three pharmacologic agents, dofetilide, thapsigargin, and quinidine, each of which produced distinct, quantifiable changes in calcium transient dynamics. To establish a benchmark for organoid platform performance, we compared the expected effects of these well characterized drugs in cardiac tissue to the calcium transient responses observed in our cardiac organoids. Agreement between canonical responses and organoid measurements supported the validity of the organoid model, while any deviations were used to identify potential model limitations and inform refinement of the platform’s representation of cardiac physiology.</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[Place </w:t>
      </w:r>
      <w:r>
        <w:rPr>
          <w:rFonts w:asciiTheme="majorHAnsi" w:hAnsiTheme="majorHAnsi" w:cstheme="majorHAnsi"/>
          <w:b/>
        </w:rPr>
        <w:t xml:space="preserve">Table 1</w:t>
      </w:r>
      <w:r>
        <w:rPr>
          <w:rFonts w:asciiTheme="majorHAnsi" w:hAnsiTheme="majorHAnsi" w:cstheme="majorHAnsi"/>
        </w:rPr>
        <w:t xml:space="preserve"> here]</w:t>
      </w:r>
    </w:p>
    <w:p>
      <w:pPr>
        <w:jc w:val="left"/>
        <w:rPr>
          <w:rFonts w:asciiTheme="majorHAnsi" w:hAnsiTheme="majorHAnsi" w:cstheme="majorHAnsi"/>
        </w:rPr>
      </w:pPr>
    </w:p>
    <w:p>
      <w:pPr>
        <w:jc w:val="left"/>
        <w:rPr>
          <w:rFonts w:asciiTheme="majorHAnsi" w:hAnsiTheme="majorHAnsi" w:cstheme="majorHAnsi"/>
        </w:rPr>
      </w:pPr>
      <w:r>
        <w:t>Working solutions for each compound were prepared from stock solutions using serial dilution in Hanks’ Balanced Salt Solution (HBSS). Each drug was prepared and handled separately to avoid cross contamination, and all tubes were clearly labeled with compound name and concentration.</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For DOF, a 10 mM stock solution was diluted by adding 1 µL stock to 99 µL HBSS to generate a micromolar working solution. A 100 nM solution was prepared by adding 1 µL of the intermediate solution to 1 mL HBSS. A 10 nM solution was then prepared by mixing 100 µL of the 100 nM solution with 900 µL HBSS. For THA, a 1 mM stock solution was diluted by adding 1 µL stock to 1 mL HBSS to obtain a micromolar working solution. A lower concentration solution was prepared by mixing 100 µL of the intermediate solution with 900 µL HBSS. For QUAN, a 100 mM stock solution was diluted by adding 1 µL stock to 1 mL HBSS to produce a 100 µM working solution. A 3 µM solution was prepared by mixing 30 µL of the 100 µM solution with 970 µL HBSS. A 30 nM solution was then prepared by mixing 10 µL of the 3 µM solution with 990 µL HBSS.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As shown in Figure 6, drug exposure experiments were performed sequentially using the same organoid. Treatments began with the lowest concentration for each drug. A single organoid was transferred into a clean well containing 0.5 mL of the prepared working solution and incubated for 10 minutes. After incubation, the organoid was transferred to the imaging chip and imaged using both brightfield and fluorescence microscopy. This procedure was repeated for each compound.</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[Place </w:t>
      </w:r>
      <w:r>
        <w:rPr>
          <w:rFonts w:asciiTheme="majorHAnsi" w:hAnsiTheme="majorHAnsi" w:cstheme="majorHAnsi"/>
          <w:b/>
        </w:rPr>
        <w:t xml:space="preserve">Figure 6</w:t>
      </w:r>
      <w:r>
        <w:rPr>
          <w:rFonts w:asciiTheme="majorHAnsi" w:hAnsiTheme="majorHAnsi" w:cstheme="majorHAnsi"/>
        </w:rPr>
        <w:t xml:space="preserve"> here]</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b/>
          <w:i/>
        </w:rPr>
        <w:t xml:space="preserve">IIIg. Analysis Pipeline</w:t>
      </w:r>
    </w:p>
    <w:p>
      <w:pPr>
        <w:jc w:val="left"/>
        <w:rPr>
          <w:rFonts w:asciiTheme="majorHAnsi" w:hAnsiTheme="majorHAnsi" w:cstheme="majorHAnsi"/>
        </w:rPr>
      </w:pPr>
    </w:p>
    <w:p>
      <w:pPr>
        <w:jc w:val="left"/>
        <w:rPr>
          <w:rFonts w:asciiTheme="majorHAnsi" w:hAnsiTheme="majorHAnsi" w:cstheme="majorHAnsi"/>
        </w:rPr>
      </w:pPr>
      <w:r>
        <w:t>All analysis of fluorescence and mechanical movement was done primarily in Python. Code can be found in the GitHub repository. The pipeline was automated, which allowed multiple videos to be processed at once.</w:t>
      </w:r>
    </w:p>
    <w:p>
      <w:pPr/>
      <w:r>
        <w:t>1) Upload the Miniscope DAQ-QT-recorded calcium imaging videos as .avi files.</w:t>
      </w:r>
    </w:p>
    <w:p>
      <w:pPr/>
      <w:r>
        <w:t>2) Use Cellpose, an open-source deep learning method, to identify the regions of interest (ROIs) on organoid cell clusters using F/F0.</w:t>
      </w:r>
    </w:p>
    <w:p>
      <w:pPr/>
      <w:r>
        <w:t>3) Export fluorescent intensity traces from each ROI as csv files.</w:t>
      </w:r>
    </w:p>
    <w:p>
      <w:pPr/>
      <w:r>
        <w:t>4) Identify and subtract the background, identify calcium peaks, segment beats, normalize each trace (F/F₀), and average results per ROI.</w:t>
      </w:r>
    </w:p>
    <w:p>
      <w:pPr/>
      <w:r>
        <w:t>5) Calculate time-based metrics (decay 50, inter-beat variability, contraction time, and relaxation time) to quantify drug effects on calcium dynamics.</w:t>
      </w:r>
    </w:p>
    <w:p>
      <w:pPr/>
      <w:r>
        <w:t>6) Interpret CD50 or calcium decay 50 as the time required for the calcium fluorescence signal to decrease to 50% of its peak after each transient, which reflects the rate of intracellular calcium clearance.</w:t>
      </w:r>
    </w:p>
    <w:p>
      <w:pPr/>
      <w:r>
        <w:t>7) Calculate significance using ANOVA and use standard methods to calculate significance.</w:t>
      </w:r>
    </w:p>
    <w:p>
      <w:pPr/>
      <w:r>
        <w:t>8) See a summary of the analysis pipeline in Figure 7, and access the code in the GitHub repository: https://github.com/sanskriti-ss/miniscope_fullstack.</w:t>
      </w:r>
    </w:p>
    <w:p>
      <w:pPr>
        <w:jc w:val="left"/>
        <w:rPr>
          <w:rFonts w:asciiTheme="majorHAnsi" w:hAnsiTheme="majorHAnsi" w:cstheme="majorHAnsi"/>
        </w:rPr>
      </w:pPr>
    </w:p>
    <w:p>
      <w:pPr>
        <w:jc w:val="left"/>
        <w:rPr>
          <w:rFonts w:asciiTheme="majorHAnsi" w:hAnsiTheme="majorHAnsi" w:cstheme="majorHAnsi"/>
        </w:rPr>
      </w:pP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[Place </w:t>
      </w:r>
      <w:r>
        <w:rPr>
          <w:rFonts w:asciiTheme="majorHAnsi" w:hAnsiTheme="majorHAnsi" w:cstheme="majorHAnsi"/>
          <w:b/>
        </w:rPr>
        <w:t xml:space="preserve">Figure 7</w:t>
      </w:r>
      <w:r>
        <w:rPr>
          <w:rFonts w:asciiTheme="majorHAnsi" w:hAnsiTheme="majorHAnsi" w:cstheme="majorHAnsi"/>
        </w:rPr>
        <w:t xml:space="preserve"> here]</w:t>
      </w:r>
    </w:p>
    <w:p w14:paraId="4015356B" w14:textId="77777777" w:rsidR="006E4797" w:rsidRPr="00F72213" w:rsidRDefault="006E4797" w:rsidP="00DA3C5C">
      <w:pPr>
        <w:pBdr>
          <w:top w:val="nil"/>
          <w:left w:val="nil"/>
          <w:bottom w:val="nil"/>
          <w:right w:val="nil"/>
          <w:between w:val="nil"/>
        </w:pBdr>
        <w:rPr>
          <w:rFonts w:asciiTheme="majorHAnsi" w:hAnsiTheme="majorHAnsi" w:cstheme="majorHAnsi"/>
          <w:b/>
          <w:color w:val="000000"/>
        </w:rPr>
      </w:pPr>
    </w:p>
    <w:p w14:paraId="08AF3300" w14:textId="1D160957" w:rsidR="006E4797" w:rsidRPr="00F72213" w:rsidRDefault="00551D82" w:rsidP="00DA3C5C">
      <w:pPr>
        <w:pBdr>
          <w:top w:val="nil"/>
          <w:left w:val="nil"/>
          <w:bottom w:val="nil"/>
          <w:right w:val="nil"/>
          <w:between w:val="nil"/>
        </w:pBdr>
        <w:rPr>
          <w:rFonts w:asciiTheme="majorHAnsi" w:hAnsiTheme="majorHAnsi" w:cstheme="majorHAnsi"/>
          <w:color w:val="808080"/>
        </w:rPr>
      </w:pPr>
      <w:r w:rsidRPr="00F72213">
        <w:rPr>
          <w:rFonts w:asciiTheme="majorHAnsi" w:hAnsiTheme="majorHAnsi" w:cstheme="majorHAnsi"/>
          <w:b/>
          <w:color w:val="000000"/>
        </w:rPr>
        <w:t xml:space="preserve">RESULTS: </w:t>
      </w:r>
      <w:r w:rsidRPr="00F72213">
        <w:rPr>
          <w:rFonts w:asciiTheme="majorHAnsi" w:hAnsiTheme="majorHAnsi" w:cstheme="majorHAnsi"/>
          <w:b/>
          <w:color w:val="000000"/>
        </w:rPr>
        <w:t xml:space="preserve"> </w:t>
      </w:r>
    </w:p>
    <w:p>
      <w:pPr>
        <w:jc w:val="left"/>
        <w:rPr>
          <w:rFonts w:asciiTheme="majorHAnsi" w:hAnsiTheme="majorHAnsi" w:cstheme="majorHAnsi"/>
        </w:rPr>
      </w:pPr>
      <w:r>
        <w:rPr>
          <w:rFonts w:asciiTheme="majorHAnsi" w:hAnsiTheme="majorHAnsi" w:cstheme="majorHAnsi"/>
        </w:rPr>
        <w:t xml:space="preserve">[Place </w:t>
      </w:r>
      <w:r>
        <w:rPr>
          <w:rFonts w:asciiTheme="majorHAnsi" w:hAnsiTheme="majorHAnsi" w:cstheme="majorHAnsi"/>
          <w:b/>
        </w:rPr>
        <w:t xml:space="preserve">Figure 8</w:t>
      </w:r>
      <w:r>
        <w:rPr>
          <w:rFonts w:asciiTheme="majorHAnsi" w:hAnsiTheme="majorHAnsi" w:cstheme="majorHAnsi"/>
        </w:rPr>
        <w:t xml:space="preserve"> here]</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[Place </w:t>
      </w:r>
      <w:r>
        <w:rPr>
          <w:rFonts w:asciiTheme="majorHAnsi" w:hAnsiTheme="majorHAnsi" w:cstheme="majorHAnsi"/>
          <w:b/>
        </w:rPr>
        <w:t xml:space="preserve">Figure 9</w:t>
      </w:r>
      <w:r>
        <w:rPr>
          <w:rFonts w:asciiTheme="majorHAnsi" w:hAnsiTheme="majorHAnsi" w:cstheme="majorHAnsi"/>
        </w:rPr>
        <w:t xml:space="preserve"> here]</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[Place </w:t>
      </w:r>
      <w:r>
        <w:rPr>
          <w:rFonts w:asciiTheme="majorHAnsi" w:hAnsiTheme="majorHAnsi" w:cstheme="majorHAnsi"/>
          <w:b/>
        </w:rPr>
        <w:t xml:space="preserve">Figure 10</w:t>
      </w:r>
      <w:r>
        <w:rPr>
          <w:rFonts w:asciiTheme="majorHAnsi" w:hAnsiTheme="majorHAnsi" w:cstheme="majorHAnsi"/>
        </w:rPr>
        <w:t xml:space="preserve"> here]</w:t>
      </w:r>
    </w:p>
    <w:p>
      <w:pPr>
        <w:jc w:val="left"/>
        <w:rPr>
          <w:rFonts w:asciiTheme="majorHAnsi" w:hAnsiTheme="majorHAnsi" w:cstheme="majorHAnsi"/>
        </w:rPr>
      </w:pPr>
    </w:p>
    <w:p>
      <w:pPr>
        <w:jc w:val="left"/>
        <w:rPr>
          <w:rFonts w:asciiTheme="majorHAnsi" w:hAnsiTheme="majorHAnsi" w:cstheme="majorHAnsi"/>
        </w:rPr>
      </w:pPr>
      <w:r>
        <w:t>Sample images of the organoids under different microscope conditions can be seen in Figure 8 for reference. Figures 9 and 10 show clear visual differences in calcium signaling and contraction between the control and drug treated organoids. In Figure 10, the control group shows regular and consistent calcium peaks, while the thapsigargin samples appear more irregular, which matches the higher beat-to-beat variability we measured. The dofetilide and quinidine traces also look broader and return to baseline more slowly, suggesting slower calcium decay.</w:t>
      </w:r>
    </w:p>
    <w:p>
      <w:pPr>
        <w:jc w:val="left"/>
        <w:rPr>
          <w:rFonts w:asciiTheme="majorHAnsi" w:hAnsiTheme="majorHAnsi" w:cstheme="majorHAnsi"/>
        </w:rPr>
      </w:pPr>
    </w:p>
    <w:p>
      <w:pPr>
        <w:jc w:val="left"/>
        <w:rPr>
          <w:rFonts w:asciiTheme="majorHAnsi" w:hAnsiTheme="majorHAnsi" w:cstheme="majorHAnsi"/>
        </w:rPr>
      </w:pPr>
      <w:r>
        <w:t>Similar patterns can also be seen in the mechanical contraction traces in Figure 9. The control group shows steady contractions, while the thapsigargin samples appear less regular and the dofetilide and quinidine traces look wider, suggesting longer contraction and relaxation phases.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[Place </w:t>
      </w:r>
      <w:r>
        <w:rPr>
          <w:rFonts w:asciiTheme="majorHAnsi" w:hAnsiTheme="majorHAnsi" w:cstheme="majorHAnsi"/>
          <w:b/>
        </w:rPr>
        <w:t xml:space="preserve">Figure 11</w:t>
      </w:r>
      <w:r>
        <w:rPr>
          <w:rFonts w:asciiTheme="majorHAnsi" w:hAnsiTheme="majorHAnsi" w:cstheme="majorHAnsi"/>
        </w:rPr>
        <w:t xml:space="preserve"> here]</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[Place </w:t>
      </w:r>
      <w:r>
        <w:rPr>
          <w:rFonts w:asciiTheme="majorHAnsi" w:hAnsiTheme="majorHAnsi" w:cstheme="majorHAnsi"/>
          <w:b/>
        </w:rPr>
        <w:t xml:space="preserve">Figure 12</w:t>
      </w:r>
      <w:r>
        <w:rPr>
          <w:rFonts w:asciiTheme="majorHAnsi" w:hAnsiTheme="majorHAnsi" w:cstheme="majorHAnsi"/>
        </w:rPr>
        <w:t xml:space="preserve"> here]</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These experimental results largely align with our predicted effects for each drug on calcium transient dynamics and contraction in the cardiac organoids. Figure 11 shows that Dolfetide, which is an IKr potassium channel blocker expected to prolong repolarization, predicted an increase in calcium transience duration and slower intracellular calcium clearance. The data shows an increase in both Decay50  and relaxation time compared with the control indicating more prolonged calcium signaling and a delay in recovery after contraction. Contraction time was also slightly elevated, consistent with the idea that prolonging the cardiac action potential extends the calcium transient.</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For thapsigargin, the results followed consistent trends although some variation was observed from expected outcomes. Organoids treated with Thapsigargin which inhibits SERCA are expected to disrupt calcium reuptake and beating patterns. The changes in the calcium transient parameters such as relaxation and decay were smaller than anticipated. However, The organoids treated with thapsigargin showed the largest increase in beat-to-beat variability, which supports the idea that inhibiting SERCA reduces rhythm stability.</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For quinidine, the observed results showed an increase in Decay50 and relaxation time compared to the control, indicating slower calcium clearance after each beat. However, contraction time was slightly lower than the control condition, suggesting that quinidine affected calcium decay and relaxation more than the contraction phase in this dataset.</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Due to the relatively low sample size illustrated by Figure 12, and testing limitations, the results do not fully reflect all of the expected outcomes predicted from the pharmacological mechanisms of the drugs. However, the observed trends are consistent within each drug class and generally align with the anticipated direction of change in calcium transient and contraction dynamics. Despite the variability in some measurements the system was still able to detect clear differences between control organoids and those exposed to the different drugs. This consistency suggests that the platform is sensitive enough to capture meaningful changes in organoid behavior. Importantly, the device was able to identify measurable changes in both contractile behavior and calcium transient dynamics. This indicates that it can simultaneously monitor functional and electrophysiological responses of cardiac organoids.</w:t>
      </w:r>
    </w:p>
    <w:p w14:paraId="079B5679" w14:textId="77777777" w:rsidR="006E4797" w:rsidRPr="00F72213" w:rsidRDefault="006E4797" w:rsidP="00DA3C5C">
      <w:pPr>
        <w:rPr>
          <w:rFonts w:asciiTheme="majorHAnsi" w:hAnsiTheme="majorHAnsi" w:cstheme="majorHAnsi"/>
          <w:color w:val="808080"/>
        </w:rPr>
      </w:pPr>
    </w:p>
    <w:p w14:paraId="6D510784" w14:textId="77777777" w:rsidR="006E4797" w:rsidRPr="00F72213" w:rsidRDefault="00551D82" w:rsidP="00DA3C5C">
      <w:pPr>
        <w:rPr>
          <w:rFonts w:asciiTheme="majorHAnsi" w:hAnsiTheme="majorHAnsi" w:cstheme="majorHAnsi"/>
          <w:color w:val="808080"/>
        </w:rPr>
      </w:pPr>
      <w:r w:rsidRPr="00F72213">
        <w:rPr>
          <w:rFonts w:asciiTheme="majorHAnsi" w:hAnsiTheme="majorHAnsi" w:cstheme="majorHAnsi"/>
          <w:b/>
        </w:rPr>
        <w:t>FIGURE AND TABLE LEGENDS:</w:t>
      </w:r>
    </w:p>
    <w:p>
      <w:pPr>
        <w:jc w:val="left"/>
        <w:rPr>
          <w:rFonts w:asciiTheme="majorHAnsi" w:hAnsiTheme="majorHAnsi" w:cstheme="majorHAnsi"/>
        </w:rPr>
      </w:pPr>
      <w:r>
        <w:rPr>
          <w:rFonts w:asciiTheme="majorHAnsi" w:hAnsiTheme="majorHAnsi" w:cstheme="majorHAnsi"/>
        </w:rPr>
        <w:t xml:space="preserve">Figure 1: Miniscope Layout. Shown is the location of the three filters, the four lenses (including two achromat lenses), and the sensor.</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Figure 2: Entire Miniscope + Organoid Layout. Schematic of the experimental setup used to measure calcium transients in cardiac organoids. Organoids are placed on a multi-well chip and electrically paced while calcium activity is recorded through fluorescence imaging using the UCLA Miniscope v4.</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Figure 3: Process of building the miniscope and collecting data from it.</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Figure 4: Steps for building the chip. First, a mold was printed with resin using a 3D printer. Then, PDMS was poured and cured in a two-step process. Then, the PDMS was plasma-treated to adhere to the glass slide. Finally, the electrodes were inserted. The cardiac organoids are then pipetted into the small ~3mm diameter wells.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Figure 5: Circuit wiring of the pacing module. Note the low-cost setup including the LCD display, connection to the chip, and L298 drivers.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Table 1: Details of drugs used on the organoids with their expected effects and outcomes.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Figure 6: Drug Testing Process. Schematic of basic steps in conducting drug trials on cardiac organoids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Figure 7: A summary of the code analysis pipeline.</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Figure 8: a.Fluorescence image of organoid capture by miniscope.  b Bright field image captured by miniscope. c. Image of organoid taken with ZEISS Axio microscope.</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Figure 9: Mechanical contractions of the Control group (not treated with any drugs), along with different selected concentrations of the different drugs. These were paced at 0.5Hz.</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Figure 10: Calcium fluorescence patterns of the Control group (not treated with any drugs), along with different selected concentrations of the different drugs. These were paced at 0.5Hz.</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Figure 11: Comparison of different key metrics for the different drug conditions. One-Way ANOVA with post-hoc pairwise comparisons (each drug vs Control) was calculated and labelled * on the bar chart if p &lt; 0.05, for Decay50, Contraction, and Relaxation Time. To determine whether variability itself differs, we used Levene's test (variance-comparison test). These were paced at 0.5Hz.</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Figure 12: Heatmap of the number of different organoids (the given number) and in colour, the number of data points extracted from those different organoids in order to do analysis.</w:t>
      </w:r>
    </w:p>
    <w:p w14:paraId="32EAFD7D" w14:textId="77777777" w:rsidR="006E4797" w:rsidRPr="00F72213" w:rsidRDefault="006E4797" w:rsidP="00DA3C5C">
      <w:pPr>
        <w:rPr>
          <w:rFonts w:asciiTheme="majorHAnsi" w:hAnsiTheme="majorHAnsi" w:cstheme="majorHAnsi"/>
          <w:color w:val="808080"/>
        </w:rPr>
      </w:pPr>
    </w:p>
    <w:p w14:paraId="7C0B6465" w14:textId="77777777" w:rsidR="006E4797" w:rsidRPr="00F72213" w:rsidRDefault="00551D82" w:rsidP="00DA3C5C">
      <w:pPr>
        <w:rPr>
          <w:rFonts w:asciiTheme="majorHAnsi" w:hAnsiTheme="majorHAnsi" w:cstheme="majorHAnsi"/>
          <w:b/>
        </w:rPr>
      </w:pPr>
      <w:r w:rsidRPr="00F72213">
        <w:rPr>
          <w:rFonts w:asciiTheme="majorHAnsi" w:hAnsiTheme="majorHAnsi" w:cstheme="majorHAnsi"/>
          <w:b/>
        </w:rPr>
        <w:t xml:space="preserve">DISCUSSION: </w:t>
      </w:r>
    </w:p>
    <w:p>
      <w:pPr>
        <w:jc w:val="left"/>
        <w:rPr>
          <w:rFonts w:asciiTheme="majorHAnsi" w:hAnsiTheme="majorHAnsi" w:cstheme="majorHAnsi"/>
        </w:rPr>
      </w:pPr>
      <w:r>
        <w:rPr>
          <w:rFonts w:asciiTheme="majorHAnsi" w:hAnsiTheme="majorHAnsi" w:cstheme="majorHAnsi"/>
        </w:rPr>
        <w:t xml:space="preserve">Having access to an automated imaging system in which researchers can effectively quantify the effects of new drugs on cardiac organoid patterns is essential for early-stage validation. Beyond early stage validation and accessibility for smaller laboratories, automated calcium imaging of cardiac organoids has several broader implications for cardiovascular research, drug development, and translational biology.</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First, organoid-based imaging supports safer drug development by enabling early detection of cardiotoxic effects. Many compounds fail in later clinical stages due to unintended effects on cardiac electrophysiology or calcium handling. Quantifying calcium transience patterns in vitro provides a functional readout of excitation-contraction coupling, helping identify arrhythmogenic or contractility altering compounds before animal or clinical testing. This greatly reduces development cost and improves screening efficiency. Second, automated imaging improves reproducibility and throughput. To clarify, manual microscopy and qualitative observation introduce user dependent variability, whereas the automated analysis pipeline we created standardizes measurement of parameters such as peak amplitude, decay kinetics, and pacing variance. Third, these systems allow longitudinal studies of cardiac function. Because organoids can be imaged repeatedly over long periods of time (days or weeks), researchers can monitor disease progression, maturation, or recovery following drug exposure. This is particularly valuable for modeling chronic cardiac conditions or delayed drug responses that cannot be captured in alternatives like short term assays.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While imaging, there were several limitations that prevented the researchers from gathering good data. For instance, the dye could not diffuse through the entire organoid, so the fluorescence was only occurring in limited edge areas of the organoid. This made it difficult to automate the ROI selection when the regions of fluorescence were comparable to the size and intensity of the flickers and graininess of the imaging due to light leaking through the box, along with glare from the Miniscope’s LED. It also made it difficult to identify the organoid when the edges were very faint. As such, a manual ROI selection option is available in the code pipeline that allows the user to manually draw out the borders of the ROI on the video frames.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When it comes to result significance, as shown in Figure 8, we were able to verify the accuracy of the miniscope and analysis pipeline by collecting calcium transience data that matched the commercial pacing of the organoid in frequency. Note that the calcium transience readings from the groups treated with drugs contained greater variation in calcium peak amplitude and regularity. As expected from previous research, the organoid-Thapsigargin group had displayed elevated calcium transience and broader peak morphology, consistent with disruption of intracellular calcium handling caused by inhibition of the sarco/endoplasmic reticulum Ca²⁺ ATPase (SERCA), which reduces calcium reuptake into the endoplasmic reticulum and prolongs cytosolic calcium elevation.</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Our work extends existing miniscope approaches by incorporating contraction-based metrics alongside calcium transient analysis, allowing for a more comprehensive assessment of organoid function. By measuring  parameters such as contraction amplitude and timing, we are able to capture the mechanical response of the tissue in addition to its electrical activity. This provides a more physiologically relevant evaluation of drug effects, especially in cases where changes in contraction are not directly reflected in calcium dynamics alone. We also developed a more structured and reproducible analysis pipeline that standardizes how imaging data is processed and quantified across experiments. Together, these additions improve the consistency and interpretability of results, making the platform more robust for future cardiac organoid studies and drug testing applications.</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Overall, this work demonstrates how integrating improved imaging, analysis, and functional metrics can advance organoid-based modeling into a more reliable and impactful tool for studying cardiac physiology and drug response.</w:t>
      </w:r>
    </w:p>
    <w:p w14:paraId="0BEB38EC" w14:textId="77777777" w:rsidR="006E4797" w:rsidRPr="00F72213" w:rsidRDefault="006E4797" w:rsidP="00DA3C5C">
      <w:pPr>
        <w:rPr>
          <w:rFonts w:asciiTheme="majorHAnsi" w:hAnsiTheme="majorHAnsi" w:cstheme="majorHAnsi"/>
          <w:color w:val="000000"/>
        </w:rPr>
      </w:pPr>
    </w:p>
    <w:p w14:paraId="59F37CC4" w14:textId="77777777" w:rsidR="006E4797" w:rsidRPr="00F72213" w:rsidRDefault="00551D82" w:rsidP="00DA3C5C">
      <w:pPr>
        <w:pBdr>
          <w:top w:val="nil"/>
          <w:left w:val="nil"/>
          <w:bottom w:val="nil"/>
          <w:right w:val="nil"/>
          <w:between w:val="nil"/>
        </w:pBdr>
        <w:rPr>
          <w:rFonts w:asciiTheme="majorHAnsi" w:hAnsiTheme="majorHAnsi" w:cstheme="majorHAnsi"/>
          <w:color w:val="808080"/>
        </w:rPr>
      </w:pPr>
      <w:r w:rsidRPr="00F72213">
        <w:rPr>
          <w:rFonts w:asciiTheme="majorHAnsi" w:hAnsiTheme="majorHAnsi" w:cstheme="majorHAnsi"/>
          <w:b/>
          <w:color w:val="000000"/>
        </w:rPr>
        <w:t xml:space="preserve">ACKNOWLEDGMENTS: </w:t>
      </w:r>
      <w:r w:rsidRPr="00F72213">
        <w:rPr>
          <w:rFonts w:asciiTheme="majorHAnsi" w:hAnsiTheme="majorHAnsi" w:cstheme="majorHAnsi"/>
          <w:b/>
          <w:color w:val="000000"/>
        </w:rPr>
        <w:t xml:space="preserve"> </w:t>
      </w:r>
    </w:p>
    <w:p>
      <w:pPr>
        <w:jc w:val="left"/>
        <w:rPr>
          <w:rFonts w:asciiTheme="majorHAnsi" w:hAnsiTheme="majorHAnsi" w:cstheme="majorHAnsi"/>
        </w:rPr>
      </w:pPr>
      <w:r>
        <w:rPr>
          <w:rFonts w:asciiTheme="majorHAnsi" w:hAnsiTheme="majorHAnsi" w:cstheme="majorHAnsi"/>
        </w:rPr>
        <w:t xml:space="preserve">Thank you to the Aharoni lab, particularly Federico Sangiuliano, and Pouria Tirgar (author of the original Heart-on-the-Miniscope), Dr. E. Dale Abel lab, and the Capstone team.</w:t>
      </w:r>
    </w:p>
    <w:p>
      <w:pPr/>
      <w:r>
        <w:t>Large language models (LLMs) were used to compare the draft against JoVE’s formatting checklists and requirements and to edit the manuscript for grammatical correctness (e.g., present- and past-tense usage). The prose remains the authors’ contribution.</w:t>
      </w:r>
    </w:p>
    <w:p w14:paraId="25B2FBBD" w14:textId="77777777" w:rsidR="006E4797" w:rsidRPr="00F72213" w:rsidRDefault="006E4797" w:rsidP="00DA3C5C">
      <w:pPr>
        <w:rPr>
          <w:rFonts w:asciiTheme="majorHAnsi" w:hAnsiTheme="majorHAnsi" w:cstheme="majorHAnsi"/>
          <w:b/>
        </w:rPr>
      </w:pPr>
    </w:p>
    <w:p w14:paraId="5E703EBA" w14:textId="77777777" w:rsidR="006E4797" w:rsidRPr="00F72213" w:rsidRDefault="00551D82" w:rsidP="00DA3C5C">
      <w:pPr>
        <w:pBdr>
          <w:top w:val="nil"/>
          <w:left w:val="nil"/>
          <w:bottom w:val="nil"/>
          <w:right w:val="nil"/>
          <w:between w:val="nil"/>
        </w:pBdr>
        <w:rPr>
          <w:rFonts w:asciiTheme="majorHAnsi" w:hAnsiTheme="majorHAnsi" w:cstheme="majorHAnsi"/>
          <w:color w:val="808080"/>
        </w:rPr>
      </w:pPr>
      <w:r w:rsidRPr="00F72213">
        <w:rPr>
          <w:rFonts w:asciiTheme="majorHAnsi" w:hAnsiTheme="majorHAnsi" w:cstheme="majorHAnsi"/>
          <w:b/>
          <w:color w:val="000000"/>
        </w:rPr>
        <w:t xml:space="preserve">DISCLOSURES: </w:t>
      </w:r>
      <w:r w:rsidRPr="00F72213">
        <w:rPr>
          <w:rFonts w:asciiTheme="majorHAnsi" w:hAnsiTheme="majorHAnsi" w:cstheme="majorHAnsi"/>
          <w:b/>
          <w:color w:val="000000"/>
        </w:rPr>
        <w:t xml:space="preserve"> </w:t>
      </w:r>
    </w:p>
    <w:p w14:paraId="132340D6" w14:textId="77777777" w:rsidR="006E4797" w:rsidRPr="00F72213" w:rsidRDefault="00551D82" w:rsidP="00DA3C5C">
      <w:pPr>
        <w:rPr>
          <w:rFonts w:asciiTheme="majorHAnsi" w:hAnsiTheme="majorHAnsi" w:cstheme="majorHAnsi"/>
          <w:color w:val="808080"/>
        </w:rPr>
      </w:pPr>
      <w:r w:rsidRPr="00F72213">
        <w:rPr>
          <w:rFonts w:asciiTheme="majorHAnsi" w:hAnsiTheme="majorHAnsi" w:cstheme="majorHAnsi"/>
          <w:color w:val="808080"/>
        </w:rPr>
        <w:t>Enter text here.</w:t>
      </w:r>
    </w:p>
    <w:p w14:paraId="4A7B0E5C" w14:textId="77777777" w:rsidR="006E4797" w:rsidRPr="00F72213" w:rsidRDefault="006E4797" w:rsidP="00DA3C5C">
      <w:pPr>
        <w:rPr>
          <w:rFonts w:asciiTheme="majorHAnsi" w:hAnsiTheme="majorHAnsi" w:cstheme="majorHAnsi"/>
          <w:color w:val="000000"/>
        </w:rPr>
      </w:pPr>
    </w:p>
    <w:p w14:paraId="6DE2B73C" w14:textId="77777777" w:rsidR="006E4797" w:rsidRPr="00F72213" w:rsidRDefault="00551D82" w:rsidP="00DA3C5C">
      <w:pPr>
        <w:rPr>
          <w:rFonts w:asciiTheme="majorHAnsi" w:hAnsiTheme="majorHAnsi" w:cstheme="majorHAnsi"/>
          <w:b/>
          <w:color w:val="000000"/>
        </w:rPr>
      </w:pPr>
      <w:proofErr w:type="gramStart"/>
      <w:r w:rsidRPr="00F72213">
        <w:rPr>
          <w:rFonts w:asciiTheme="majorHAnsi" w:hAnsiTheme="majorHAnsi" w:cstheme="majorHAnsi"/>
          <w:b/>
        </w:rPr>
        <w:t>REFERENCES</w:t>
      </w:r>
      <w:proofErr w:type="gramEnd"/>
      <w:r w:rsidRPr="00F72213">
        <w:rPr>
          <w:rFonts w:asciiTheme="majorHAnsi" w:hAnsiTheme="majorHAnsi" w:cstheme="majorHAnsi"/>
          <w:b/>
        </w:rPr>
        <w:t>:</w:t>
      </w:r>
      <w:r w:rsidRPr="00F72213">
        <w:rPr>
          <w:rFonts w:asciiTheme="majorHAnsi" w:hAnsiTheme="majorHAnsi" w:cstheme="majorHAnsi"/>
        </w:rPr>
        <w:t xml:space="preserve"> </w:t>
      </w:r>
    </w:p>
    <w:p>
      <w:pPr>
        <w:jc w:val="left"/>
        <w:rPr>
          <w:rFonts w:asciiTheme="majorHAnsi" w:hAnsiTheme="majorHAnsi" w:cstheme="majorHAnsi"/>
        </w:rPr>
      </w:pPr>
      <w:r>
        <w:rPr>
          <w:rFonts w:asciiTheme="majorHAnsi" w:hAnsiTheme="majorHAnsi" w:cstheme="majorHAnsi"/>
        </w:rPr>
        <w:t xml:space="preserve">1. </w:t>
      </w:r>
      <w:r>
        <w:rPr>
          <w:rFonts w:asciiTheme="majorHAnsi" w:hAnsiTheme="majorHAnsi" w:cstheme="majorHAnsi"/>
        </w:rPr>
        <w:t xml:space="preserve">Crea F. Heart failure with preserved ejection fraction: innovative diagnostic approaches and therapeutic targets. Eur Heart J. 2023;44(17):1481-1485.</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2. </w:t>
      </w:r>
      <w:r>
        <w:rPr>
          <w:rFonts w:asciiTheme="majorHAnsi" w:hAnsiTheme="majorHAnsi" w:cstheme="majorHAnsi"/>
        </w:rPr>
        <w:t xml:space="preserve">Chorazy N, et al. Sodium-glucose co-transporters (SGLT2) inhibitors prevent lipid droplets formation in vascular inflammation or lipid overload by SGLT2-independent mechanism. Biomed Pharmacother. 2025;185:117967.</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3. </w:t>
      </w:r>
      <w:r>
        <w:rPr>
          <w:rFonts w:asciiTheme="majorHAnsi" w:hAnsiTheme="majorHAnsi" w:cstheme="majorHAnsi"/>
        </w:rPr>
        <w:t xml:space="preserve">Haim IR, et al. Modeling Heart Failure With Preserved Ejection Fraction Using Human Induced Pluripotent Stem Cell-Derived Cardiac Organoids. Circ Heart Fail. 2025;18:e011690.</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4. </w:t>
      </w:r>
      <w:r>
        <w:rPr>
          <w:rFonts w:asciiTheme="majorHAnsi" w:hAnsiTheme="majorHAnsi" w:cstheme="majorHAnsi"/>
        </w:rPr>
        <w:t xml:space="preserve">Sun D, Gao W, Hu H, Zhou S. Why 90% of clinical drug development fails and how to improve it? Acta Pharm Sin B. 2022;12(7):3049-3062.</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5. </w:t>
      </w:r>
      <w:r>
        <w:rPr>
          <w:rFonts w:asciiTheme="majorHAnsi" w:hAnsiTheme="majorHAnsi" w:cstheme="majorHAnsi"/>
        </w:rPr>
        <w:t xml:space="preserve">Tirgar P, et al. Heart-on-a-Miniscope: A Miniaturized Solution for Electrophysiological Drug Screening in Cardiac Organoids. Small. 2025;21(6):e2409571.</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6. </w:t>
      </w:r>
      <w:r>
        <w:rPr>
          <w:rFonts w:asciiTheme="majorHAnsi" w:hAnsiTheme="majorHAnsi" w:cstheme="majorHAnsi"/>
        </w:rPr>
        <w:t xml:space="preserve">Hong CC. The grand challenge of discovering new cardiovascular drugs. Front Drug Discov. 2022;2:1027401.</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7. </w:t>
      </w:r>
      <w:r>
        <w:rPr>
          <w:rFonts w:asciiTheme="majorHAnsi" w:hAnsiTheme="majorHAnsi" w:cstheme="majorHAnsi"/>
        </w:rPr>
        <w:t xml:space="preserve">Sertkaya A, Beleche T, Jessup A, Sommers BD. Costs of drug development and research and development intensity in the US, 2000-2018. JAMA Netw Open. 2024;7(6):e2415445.</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8. </w:t>
      </w:r>
      <w:r>
        <w:rPr>
          <w:rFonts w:asciiTheme="majorHAnsi" w:hAnsiTheme="majorHAnsi" w:cstheme="majorHAnsi"/>
        </w:rPr>
        <w:t xml:space="preserve">Van Norman GA. Limitations of Animal Studies for Predicting Toxicity in Clinical Trials: Is it Time to Rethink Our Current Approach? JACC Basic Transl Sci. 2019;4(7):845-854.</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9. </w:t>
      </w:r>
      <w:r>
        <w:rPr>
          <w:rFonts w:asciiTheme="majorHAnsi" w:hAnsiTheme="majorHAnsi" w:cstheme="majorHAnsi"/>
        </w:rPr>
        <w:t xml:space="preserve">Kostina A, Volmert B, Aguirre A. Human heart organoids: current applications and future perspectives. Eur Heart J. 2024;45(10):751-753.</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10. </w:t>
      </w:r>
      <w:r>
        <w:rPr>
          <w:rFonts w:asciiTheme="majorHAnsi" w:hAnsiTheme="majorHAnsi" w:cstheme="majorHAnsi"/>
        </w:rPr>
        <w:t xml:space="preserve">Pocock MW, et al. Maturation of human cardiac organoids enables complex disease modeling and drug discovery. Nat Cardiovasc Res. 2025;4(7):821-840.</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11. </w:t>
      </w:r>
      <w:r>
        <w:rPr>
          <w:rFonts w:asciiTheme="majorHAnsi" w:hAnsiTheme="majorHAnsi" w:cstheme="majorHAnsi"/>
        </w:rPr>
        <w:t xml:space="preserve">Fayyaz AU, et al. Pathophysiological insights into HFpEF from studies of human cardiac tissue. Nat Rev Cardiol. 2025;22(2):90-104.</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12. </w:t>
      </w:r>
      <w:r>
        <w:rPr>
          <w:rFonts w:asciiTheme="majorHAnsi" w:hAnsiTheme="majorHAnsi" w:cstheme="majorHAnsi"/>
        </w:rPr>
        <w:t xml:space="preserve">Aharoni Lab. Miniscope V4 Wiki. GitHub. https://github.com/Aharoni-Lab/Miniscope-v4/wiki/Home.</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13. </w:t>
      </w:r>
      <w:r>
        <w:rPr>
          <w:rFonts w:asciiTheme="majorHAnsi" w:hAnsiTheme="majorHAnsi" w:cstheme="majorHAnsi"/>
        </w:rPr>
        <w:t xml:space="preserve">Lock JT, Parker I, Smith IF. A comparison of fluorescent </w:t>
      </w:r>
      <w:r>
        <w:rPr>
          <w:rFonts w:asciiTheme="majorHAnsi" w:hAnsiTheme="majorHAnsi" w:cstheme="majorHAnsi"/>
        </w:rPr>
        <w:t xml:space="preserve">Ca</w:t>
      </w:r>
      <w:r>
        <w:rPr>
          <w:rFonts w:asciiTheme="majorHAnsi" w:hAnsiTheme="majorHAnsi" w:cstheme="majorHAnsi"/>
          <w:vertAlign w:val="superscript"/>
        </w:rPr>
        <w:t xml:space="preserve">2+</w:t>
      </w:r>
      <w:r>
        <w:rPr>
          <w:rFonts w:asciiTheme="majorHAnsi" w:hAnsiTheme="majorHAnsi" w:cstheme="majorHAnsi"/>
        </w:rPr>
        <w:t xml:space="preserve"> indicators for imaging local </w:t>
      </w:r>
      <w:r>
        <w:rPr>
          <w:rFonts w:asciiTheme="majorHAnsi" w:hAnsiTheme="majorHAnsi" w:cstheme="majorHAnsi"/>
        </w:rPr>
        <w:t xml:space="preserve">Ca</w:t>
      </w:r>
      <w:r>
        <w:rPr>
          <w:rFonts w:asciiTheme="majorHAnsi" w:hAnsiTheme="majorHAnsi" w:cstheme="majorHAnsi"/>
          <w:vertAlign w:val="superscript"/>
        </w:rPr>
        <w:t xml:space="preserve">2+</w:t>
      </w:r>
      <w:r>
        <w:rPr>
          <w:rFonts w:asciiTheme="majorHAnsi" w:hAnsiTheme="majorHAnsi" w:cstheme="majorHAnsi"/>
        </w:rPr>
        <w:t xml:space="preserve"> signals in cultured cells. Cell Calcium. 2015;58(6):638-648.</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14. </w:t>
      </w:r>
      <w:r>
        <w:rPr>
          <w:rFonts w:asciiTheme="majorHAnsi" w:hAnsiTheme="majorHAnsi" w:cstheme="majorHAnsi"/>
        </w:rPr>
        <w:t xml:space="preserve">van Doorn ECH, et al. Advancing 3D Engineered In Vitro Models for Heart Failure Research: Key Features and Considerations. Bioengineering (Basel). 2024;11(12):1220.</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15. </w:t>
      </w:r>
      <w:r>
        <w:rPr>
          <w:rFonts w:asciiTheme="majorHAnsi" w:hAnsiTheme="majorHAnsi" w:cstheme="majorHAnsi"/>
        </w:rPr>
        <w:t xml:space="preserve">Ott C, Jung T. The MyoPulser field stimulator, a do it yourself programmable electronic pacemaker for contracting cells and tissues. Sci Rep. 2023;13(1):2461.</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16. </w:t>
      </w:r>
      <w:r>
        <w:rPr>
          <w:rFonts w:asciiTheme="majorHAnsi" w:hAnsiTheme="majorHAnsi" w:cstheme="majorHAnsi"/>
        </w:rPr>
        <w:t xml:space="preserve">Srivastava S, et al. Paradoxical effect of dofetilide on action potential duration and calcium transient amplitude in newborn rabbit ventricular myocytes. J Cardiovasc Pharmacol. 2005;45(2):165-174.</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17. </w:t>
      </w:r>
      <w:r>
        <w:rPr>
          <w:rFonts w:asciiTheme="majorHAnsi" w:hAnsiTheme="majorHAnsi" w:cstheme="majorHAnsi"/>
        </w:rPr>
        <w:t xml:space="preserve">Sehgal P, et al. Inhibition of the sarco/endoplasmic reticulum (ER) </w:t>
      </w:r>
      <w:r>
        <w:rPr>
          <w:rFonts w:asciiTheme="majorHAnsi" w:hAnsiTheme="majorHAnsi" w:cstheme="majorHAnsi"/>
        </w:rPr>
        <w:t xml:space="preserve">Ca</w:t>
      </w:r>
      <w:r>
        <w:rPr>
          <w:rFonts w:asciiTheme="majorHAnsi" w:hAnsiTheme="majorHAnsi" w:cstheme="majorHAnsi"/>
          <w:vertAlign w:val="superscript"/>
        </w:rPr>
        <w:t xml:space="preserve">2+</w:t>
      </w:r>
      <w:r>
        <w:rPr>
          <w:rFonts w:asciiTheme="majorHAnsi" w:hAnsiTheme="majorHAnsi" w:cstheme="majorHAnsi"/>
        </w:rPr>
        <w:t xml:space="preserve">-ATPase by thapsigargin analogs induces cell death via ER </w:t>
      </w:r>
      <w:r>
        <w:rPr>
          <w:rFonts w:asciiTheme="majorHAnsi" w:hAnsiTheme="majorHAnsi" w:cstheme="majorHAnsi"/>
        </w:rPr>
        <w:t xml:space="preserve">Ca</w:t>
      </w:r>
      <w:r>
        <w:rPr>
          <w:rFonts w:asciiTheme="majorHAnsi" w:hAnsiTheme="majorHAnsi" w:cstheme="majorHAnsi"/>
          <w:vertAlign w:val="superscript"/>
        </w:rPr>
        <w:t xml:space="preserve">2+</w:t>
      </w:r>
      <w:r>
        <w:rPr>
          <w:rFonts w:asciiTheme="majorHAnsi" w:hAnsiTheme="majorHAnsi" w:cstheme="majorHAnsi"/>
        </w:rPr>
        <w:t xml:space="preserve"> depletion and the unfolded protein response. J Biol Chem. 2017;292(48):19656-19673.</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18. </w:t>
      </w:r>
      <w:r>
        <w:rPr>
          <w:rFonts w:asciiTheme="majorHAnsi" w:hAnsiTheme="majorHAnsi" w:cstheme="majorHAnsi"/>
        </w:rPr>
        <w:t xml:space="preserve">Cheng H, Smith GL, Hancox JC, Orchard CH. Inhibition of spontaneous activity of rabbit atrioventricular node cells by KB-R7943 and inhibitors of sarcoplasmic reticulum </w:t>
      </w:r>
      <w:r>
        <w:rPr>
          <w:rFonts w:asciiTheme="majorHAnsi" w:hAnsiTheme="majorHAnsi" w:cstheme="majorHAnsi"/>
        </w:rPr>
        <w:t xml:space="preserve">Ca</w:t>
      </w:r>
      <w:r>
        <w:rPr>
          <w:rFonts w:asciiTheme="majorHAnsi" w:hAnsiTheme="majorHAnsi" w:cstheme="majorHAnsi"/>
          <w:vertAlign w:val="superscript"/>
        </w:rPr>
        <w:t xml:space="preserve">2+</w:t>
      </w:r>
      <w:r>
        <w:rPr>
          <w:rFonts w:asciiTheme="majorHAnsi" w:hAnsiTheme="majorHAnsi" w:cstheme="majorHAnsi"/>
        </w:rPr>
        <w:t xml:space="preserve"> ATPase. Cell Calcium. 2011;49(1):56-65.</w:t>
      </w:r>
    </w:p>
    <w:p>
      <w:pPr>
        <w:jc w:val="left"/>
        <w:rPr>
          <w:rFonts w:asciiTheme="majorHAnsi" w:hAnsiTheme="majorHAnsi" w:cstheme="majorHAnsi"/>
        </w:rPr>
      </w:pPr>
    </w:p>
    <w:p>
      <w:pPr>
        <w:jc w:val="left"/>
        <w:rPr>
          <w:rFonts w:asciiTheme="majorHAnsi" w:hAnsiTheme="majorHAnsi" w:cstheme="majorHAnsi"/>
        </w:rPr>
      </w:pPr>
      <w:r>
        <w:rPr>
          <w:rFonts w:asciiTheme="majorHAnsi" w:hAnsiTheme="majorHAnsi" w:cstheme="majorHAnsi"/>
        </w:rPr>
        <w:t xml:space="preserve">19. </w:t>
      </w:r>
      <w:r>
        <w:rPr>
          <w:rFonts w:asciiTheme="majorHAnsi" w:hAnsiTheme="majorHAnsi" w:cstheme="majorHAnsi"/>
        </w:rPr>
        <w:t xml:space="preserve">Revenko SV, Khodorov BI, Shapovalova LM. [Blockade of the sodium and potassium channels of a myelinated nerve fiber by quinidine]. Neirofiziologiia. 1982;14(3):324-330.</w:t>
      </w:r>
    </w:p>
    <w:sectPr w:rsidR="00516914" w:rsidRPr="00DA3C5C" w:rsidSect="00147CBA">
      <w:pgSz w:w="12240" w:h="15840"/>
      <w:pgMar w:top="1440" w:right="1440" w:bottom="1440" w:left="1440" w:header="720" w:footer="605"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830E6" w14:textId="77777777" w:rsidR="008F11F2" w:rsidRDefault="008F11F2">
      <w:r>
        <w:separator/>
      </w:r>
    </w:p>
  </w:endnote>
  <w:endnote w:type="continuationSeparator" w:id="0">
    <w:p w14:paraId="0639319C" w14:textId="77777777" w:rsidR="008F11F2" w:rsidRDefault="008F1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172E" w14:textId="77777777" w:rsidR="006E4797" w:rsidRDefault="006E479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0D347" w14:textId="77777777" w:rsidR="008F11F2" w:rsidRDefault="008F11F2">
      <w:r>
        <w:separator/>
      </w:r>
    </w:p>
  </w:footnote>
  <w:footnote w:type="continuationSeparator" w:id="0">
    <w:p w14:paraId="41B8221F" w14:textId="77777777" w:rsidR="008F11F2" w:rsidRDefault="008F1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547F0" w14:textId="77777777" w:rsidR="006E4797" w:rsidRDefault="006E4797">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0A415" w14:textId="77777777" w:rsidR="006E4797" w:rsidRDefault="00551D82">
    <w:pPr>
      <w:pBdr>
        <w:top w:val="nil"/>
        <w:left w:val="nil"/>
        <w:bottom w:val="nil"/>
        <w:right w:val="nil"/>
        <w:between w:val="nil"/>
      </w:pBdr>
      <w:tabs>
        <w:tab w:val="center" w:pos="4680"/>
        <w:tab w:val="right" w:pos="9360"/>
        <w:tab w:val="left" w:pos="5724"/>
      </w:tabs>
      <w:rPr>
        <w:b/>
        <w:color w:val="1F497D"/>
        <w:sz w:val="28"/>
        <w:szCs w:val="28"/>
      </w:rPr>
    </w:pPr>
    <w:r>
      <w:rPr>
        <w:color w:val="000000"/>
        <w:sz w:val="22"/>
        <w:szCs w:val="22"/>
      </w:rPr>
      <w:tab/>
    </w:r>
    <w:r>
      <w:rPr>
        <w:color w:val="000000"/>
        <w:sz w:val="22"/>
        <w:szCs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EF599" w14:textId="662962A5" w:rsidR="00B86087" w:rsidRDefault="00CF683A">
    <w:pPr>
      <w:pBdr>
        <w:top w:val="nil"/>
        <w:left w:val="nil"/>
        <w:bottom w:val="nil"/>
        <w:right w:val="nil"/>
        <w:between w:val="nil"/>
      </w:pBdr>
      <w:tabs>
        <w:tab w:val="center" w:pos="4680"/>
        <w:tab w:val="right" w:pos="9360"/>
      </w:tabs>
      <w:jc w:val="right"/>
      <w:rPr>
        <w:b/>
        <w:noProof/>
        <w:color w:val="1F497D"/>
        <w:sz w:val="32"/>
        <w:szCs w:val="32"/>
      </w:rPr>
    </w:pPr>
    <w:r>
      <w:rPr>
        <w:b/>
        <w:noProof/>
        <w:color w:val="1F497D"/>
        <w:sz w:val="32"/>
        <w:szCs w:val="32"/>
      </w:rPr>
      <w:drawing>
        <wp:anchor distT="0" distB="0" distL="114300" distR="114300" simplePos="0" relativeHeight="251659264" behindDoc="0" locked="0" layoutInCell="1" allowOverlap="1" wp14:anchorId="4AD7674C" wp14:editId="723B0C9F">
          <wp:simplePos x="0" y="0"/>
          <wp:positionH relativeFrom="column">
            <wp:posOffset>0</wp:posOffset>
          </wp:positionH>
          <wp:positionV relativeFrom="paragraph">
            <wp:posOffset>-158750</wp:posOffset>
          </wp:positionV>
          <wp:extent cx="1441450" cy="822325"/>
          <wp:effectExtent l="0" t="0" r="6350" b="0"/>
          <wp:wrapSquare wrapText="bothSides"/>
          <wp:docPr id="803579395" name="image1.png"/>
          <wp:cNvGraphicFramePr/>
          <a:graphic xmlns:a="http://schemas.openxmlformats.org/drawingml/2006/main">
            <a:graphicData uri="http://schemas.openxmlformats.org/drawingml/2006/picture">
              <pic:pic xmlns:pic="http://schemas.openxmlformats.org/drawingml/2006/picture">
                <pic:nvPicPr>
                  <pic:cNvPr id="803579395" name="image1.png"/>
                  <pic:cNvPicPr/>
                </pic:nvPicPr>
                <pic:blipFill>
                  <a:blip r:embed="rId1">
                    <a:extLst>
                      <a:ext uri="{28A0092B-C50C-407E-A947-70E740481C1C}">
                        <a14:useLocalDpi xmlns:a14="http://schemas.microsoft.com/office/drawing/2010/main" val="0"/>
                      </a:ext>
                    </a:extLst>
                  </a:blip>
                  <a:srcRect l="491" r="491"/>
                  <a:stretch>
                    <a:fillRect/>
                  </a:stretch>
                </pic:blipFill>
                <pic:spPr bwMode="auto">
                  <a:xfrm>
                    <a:off x="0" y="0"/>
                    <a:ext cx="1441450" cy="822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9104647" w14:textId="1E9F73C7" w:rsidR="006E4797" w:rsidRDefault="0018412F">
    <w:pPr>
      <w:pBdr>
        <w:top w:val="nil"/>
        <w:left w:val="nil"/>
        <w:bottom w:val="nil"/>
        <w:right w:val="nil"/>
        <w:between w:val="nil"/>
      </w:pBdr>
      <w:tabs>
        <w:tab w:val="center" w:pos="4680"/>
        <w:tab w:val="right" w:pos="9360"/>
      </w:tabs>
      <w:jc w:val="right"/>
      <w:rPr>
        <w:b/>
        <w:color w:val="1F497D"/>
        <w:sz w:val="32"/>
        <w:szCs w:val="32"/>
      </w:rPr>
    </w:pPr>
    <w:r>
      <w:rPr>
        <w:b/>
        <w:color w:val="1F497D"/>
        <w:sz w:val="32"/>
        <w:szCs w:val="32"/>
      </w:rPr>
      <w:t>Method Article</w:t>
    </w:r>
    <w:r w:rsidR="00551D82">
      <w:rPr>
        <w:b/>
        <w:color w:val="1F497D"/>
        <w:sz w:val="32"/>
        <w:szCs w:val="32"/>
      </w:rPr>
      <w:t xml:space="preserve"> Template</w:t>
    </w:r>
    <w:r w:rsidR="00551D82">
      <w:rPr>
        <w:b/>
        <w:color w:val="1F497D"/>
        <w:sz w:val="32"/>
        <w:szCs w:val="32"/>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5FCA"/>
    <w:multiLevelType w:val="hybridMultilevel"/>
    <w:tmpl w:val="4AAABC5E"/>
    <w:lvl w:ilvl="0" w:tplc="0862F1EC">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227B1"/>
    <w:multiLevelType w:val="hybridMultilevel"/>
    <w:tmpl w:val="E69A5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BA043A"/>
    <w:multiLevelType w:val="hybridMultilevel"/>
    <w:tmpl w:val="97EA5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0A5F44"/>
    <w:multiLevelType w:val="hybridMultilevel"/>
    <w:tmpl w:val="87FAF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C4245A"/>
    <w:multiLevelType w:val="multilevel"/>
    <w:tmpl w:val="8350F41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 w15:restartNumberingAfterBreak="0">
    <w:nsid w:val="28F56E94"/>
    <w:multiLevelType w:val="multilevel"/>
    <w:tmpl w:val="079E78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D1373D0"/>
    <w:multiLevelType w:val="hybridMultilevel"/>
    <w:tmpl w:val="64823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653E31"/>
    <w:multiLevelType w:val="multilevel"/>
    <w:tmpl w:val="39C803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2E07ABC"/>
    <w:multiLevelType w:val="hybridMultilevel"/>
    <w:tmpl w:val="DF822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E818DD"/>
    <w:multiLevelType w:val="multilevel"/>
    <w:tmpl w:val="F1D632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4776719"/>
    <w:multiLevelType w:val="multilevel"/>
    <w:tmpl w:val="CC2AEAE8"/>
    <w:lvl w:ilvl="0">
      <w:start w:val="1"/>
      <w:numFmt w:val="bullet"/>
      <w:lvlText w:val="●"/>
      <w:lvlJc w:val="left"/>
      <w:pPr>
        <w:ind w:left="900" w:hanging="360"/>
      </w:pPr>
      <w:rPr>
        <w:rFonts w:ascii="Noto Sans Symbols" w:eastAsia="Noto Sans Symbols" w:hAnsi="Noto Sans Symbols" w:cs="Noto Sans Symbols"/>
        <w:sz w:val="24"/>
        <w:szCs w:val="24"/>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520" w:hanging="360"/>
      </w:pPr>
    </w:lvl>
    <w:lvl w:ilvl="3">
      <w:start w:val="1"/>
      <w:numFmt w:val="bullet"/>
      <w:lvlText w:val="•"/>
      <w:lvlJc w:val="left"/>
      <w:pPr>
        <w:ind w:left="3420" w:hanging="360"/>
      </w:pPr>
    </w:lvl>
    <w:lvl w:ilvl="4">
      <w:start w:val="1"/>
      <w:numFmt w:val="bullet"/>
      <w:lvlText w:val="•"/>
      <w:lvlJc w:val="left"/>
      <w:pPr>
        <w:ind w:left="4320" w:hanging="360"/>
      </w:pPr>
    </w:lvl>
    <w:lvl w:ilvl="5">
      <w:start w:val="1"/>
      <w:numFmt w:val="bullet"/>
      <w:lvlText w:val="•"/>
      <w:lvlJc w:val="left"/>
      <w:pPr>
        <w:ind w:left="5220" w:hanging="360"/>
      </w:pPr>
    </w:lvl>
    <w:lvl w:ilvl="6">
      <w:start w:val="1"/>
      <w:numFmt w:val="bullet"/>
      <w:lvlText w:val="•"/>
      <w:lvlJc w:val="left"/>
      <w:pPr>
        <w:ind w:left="6120" w:hanging="360"/>
      </w:pPr>
    </w:lvl>
    <w:lvl w:ilvl="7">
      <w:start w:val="1"/>
      <w:numFmt w:val="bullet"/>
      <w:lvlText w:val="•"/>
      <w:lvlJc w:val="left"/>
      <w:pPr>
        <w:ind w:left="7020" w:hanging="360"/>
      </w:pPr>
    </w:lvl>
    <w:lvl w:ilvl="8">
      <w:start w:val="1"/>
      <w:numFmt w:val="bullet"/>
      <w:lvlText w:val="•"/>
      <w:lvlJc w:val="left"/>
      <w:pPr>
        <w:ind w:left="7920" w:hanging="360"/>
      </w:pPr>
    </w:lvl>
  </w:abstractNum>
  <w:abstractNum w:abstractNumId="11" w15:restartNumberingAfterBreak="0">
    <w:nsid w:val="37AA244F"/>
    <w:multiLevelType w:val="multilevel"/>
    <w:tmpl w:val="4A3E83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04604FC"/>
    <w:multiLevelType w:val="multilevel"/>
    <w:tmpl w:val="BDF4D2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08F0293"/>
    <w:multiLevelType w:val="hybridMultilevel"/>
    <w:tmpl w:val="FA6ED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AA3F0B"/>
    <w:multiLevelType w:val="multilevel"/>
    <w:tmpl w:val="87623B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8C14CB2"/>
    <w:multiLevelType w:val="multilevel"/>
    <w:tmpl w:val="2E3C12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EF66F12"/>
    <w:multiLevelType w:val="multilevel"/>
    <w:tmpl w:val="BA38A2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0FC11D4"/>
    <w:multiLevelType w:val="hybridMultilevel"/>
    <w:tmpl w:val="84D43CAC"/>
    <w:lvl w:ilvl="0" w:tplc="0862F1EC">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8E55F7F"/>
    <w:multiLevelType w:val="multilevel"/>
    <w:tmpl w:val="9F1EEF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FB0770A"/>
    <w:multiLevelType w:val="multilevel"/>
    <w:tmpl w:val="063CAB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47B6BC2"/>
    <w:multiLevelType w:val="hybridMultilevel"/>
    <w:tmpl w:val="36F6E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80701F"/>
    <w:multiLevelType w:val="hybridMultilevel"/>
    <w:tmpl w:val="EDCE8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2123839">
    <w:abstractNumId w:val="9"/>
  </w:num>
  <w:num w:numId="2" w16cid:durableId="1984042491">
    <w:abstractNumId w:val="14"/>
  </w:num>
  <w:num w:numId="3" w16cid:durableId="118914537">
    <w:abstractNumId w:val="19"/>
  </w:num>
  <w:num w:numId="4" w16cid:durableId="1932934919">
    <w:abstractNumId w:val="4"/>
  </w:num>
  <w:num w:numId="5" w16cid:durableId="584412448">
    <w:abstractNumId w:val="16"/>
  </w:num>
  <w:num w:numId="6" w16cid:durableId="1692337555">
    <w:abstractNumId w:val="18"/>
  </w:num>
  <w:num w:numId="7" w16cid:durableId="1668751632">
    <w:abstractNumId w:val="10"/>
  </w:num>
  <w:num w:numId="8" w16cid:durableId="1699504584">
    <w:abstractNumId w:val="12"/>
  </w:num>
  <w:num w:numId="9" w16cid:durableId="1471939920">
    <w:abstractNumId w:val="5"/>
  </w:num>
  <w:num w:numId="10" w16cid:durableId="1456294289">
    <w:abstractNumId w:val="11"/>
  </w:num>
  <w:num w:numId="11" w16cid:durableId="1090856223">
    <w:abstractNumId w:val="15"/>
  </w:num>
  <w:num w:numId="12" w16cid:durableId="347753210">
    <w:abstractNumId w:val="7"/>
  </w:num>
  <w:num w:numId="13" w16cid:durableId="62803357">
    <w:abstractNumId w:val="21"/>
  </w:num>
  <w:num w:numId="14" w16cid:durableId="571625102">
    <w:abstractNumId w:val="20"/>
  </w:num>
  <w:num w:numId="15" w16cid:durableId="1783526964">
    <w:abstractNumId w:val="8"/>
  </w:num>
  <w:num w:numId="16" w16cid:durableId="985014971">
    <w:abstractNumId w:val="3"/>
  </w:num>
  <w:num w:numId="17" w16cid:durableId="1511211528">
    <w:abstractNumId w:val="2"/>
  </w:num>
  <w:num w:numId="18" w16cid:durableId="1311205117">
    <w:abstractNumId w:val="13"/>
  </w:num>
  <w:num w:numId="19" w16cid:durableId="81266712">
    <w:abstractNumId w:val="6"/>
  </w:num>
  <w:num w:numId="20" w16cid:durableId="1802188761">
    <w:abstractNumId w:val="17"/>
  </w:num>
  <w:num w:numId="21" w16cid:durableId="225191431">
    <w:abstractNumId w:val="0"/>
  </w:num>
  <w:num w:numId="22" w16cid:durableId="475996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0MrcwNjQxtzA1tTBU0lEKTi0uzszPAykwNK4FAIFA4bYtAAAA"/>
  </w:docVars>
  <w:rsids>
    <w:rsidRoot w:val="006E4797"/>
    <w:rsid w:val="0000515B"/>
    <w:rsid w:val="00011457"/>
    <w:rsid w:val="00013652"/>
    <w:rsid w:val="00034DD1"/>
    <w:rsid w:val="0004355D"/>
    <w:rsid w:val="00057B67"/>
    <w:rsid w:val="00061E0E"/>
    <w:rsid w:val="0007506F"/>
    <w:rsid w:val="00076815"/>
    <w:rsid w:val="00081F44"/>
    <w:rsid w:val="00082A5F"/>
    <w:rsid w:val="000B41B6"/>
    <w:rsid w:val="000D3211"/>
    <w:rsid w:val="000E2ABF"/>
    <w:rsid w:val="000E3F21"/>
    <w:rsid w:val="000E4C51"/>
    <w:rsid w:val="00147CBA"/>
    <w:rsid w:val="0015327B"/>
    <w:rsid w:val="001624E4"/>
    <w:rsid w:val="00181A81"/>
    <w:rsid w:val="0018412F"/>
    <w:rsid w:val="00194C04"/>
    <w:rsid w:val="00194CE8"/>
    <w:rsid w:val="001959A2"/>
    <w:rsid w:val="001A1CA1"/>
    <w:rsid w:val="001A3D0F"/>
    <w:rsid w:val="001D1578"/>
    <w:rsid w:val="001F3109"/>
    <w:rsid w:val="00210DD6"/>
    <w:rsid w:val="00214319"/>
    <w:rsid w:val="00216774"/>
    <w:rsid w:val="00231F3E"/>
    <w:rsid w:val="0023296D"/>
    <w:rsid w:val="00232DDC"/>
    <w:rsid w:val="00252077"/>
    <w:rsid w:val="00273EDD"/>
    <w:rsid w:val="0031658E"/>
    <w:rsid w:val="00333D4B"/>
    <w:rsid w:val="00345A90"/>
    <w:rsid w:val="00351087"/>
    <w:rsid w:val="003548DA"/>
    <w:rsid w:val="00356228"/>
    <w:rsid w:val="00356880"/>
    <w:rsid w:val="00387CDA"/>
    <w:rsid w:val="003A5297"/>
    <w:rsid w:val="003D67E2"/>
    <w:rsid w:val="0040579A"/>
    <w:rsid w:val="00414ADE"/>
    <w:rsid w:val="004361C8"/>
    <w:rsid w:val="00436F4D"/>
    <w:rsid w:val="004620C9"/>
    <w:rsid w:val="004939EE"/>
    <w:rsid w:val="004969D3"/>
    <w:rsid w:val="004C0985"/>
    <w:rsid w:val="004D362E"/>
    <w:rsid w:val="004F6AD9"/>
    <w:rsid w:val="00513CCF"/>
    <w:rsid w:val="00516914"/>
    <w:rsid w:val="00551D82"/>
    <w:rsid w:val="0055344F"/>
    <w:rsid w:val="005734D7"/>
    <w:rsid w:val="00575E55"/>
    <w:rsid w:val="00585BF5"/>
    <w:rsid w:val="005A637B"/>
    <w:rsid w:val="005E1EE7"/>
    <w:rsid w:val="00604100"/>
    <w:rsid w:val="00615035"/>
    <w:rsid w:val="00620842"/>
    <w:rsid w:val="00622578"/>
    <w:rsid w:val="006239A1"/>
    <w:rsid w:val="00634672"/>
    <w:rsid w:val="00647209"/>
    <w:rsid w:val="00663CFB"/>
    <w:rsid w:val="006755EE"/>
    <w:rsid w:val="006824BF"/>
    <w:rsid w:val="006A6821"/>
    <w:rsid w:val="006E4797"/>
    <w:rsid w:val="006E7C64"/>
    <w:rsid w:val="00702ADE"/>
    <w:rsid w:val="0070444F"/>
    <w:rsid w:val="00714BE0"/>
    <w:rsid w:val="00736371"/>
    <w:rsid w:val="00751D3D"/>
    <w:rsid w:val="007A4BBA"/>
    <w:rsid w:val="007B488F"/>
    <w:rsid w:val="007B72A4"/>
    <w:rsid w:val="007D6BE0"/>
    <w:rsid w:val="007F13E9"/>
    <w:rsid w:val="007F2030"/>
    <w:rsid w:val="007F5EB0"/>
    <w:rsid w:val="00833B96"/>
    <w:rsid w:val="008425A4"/>
    <w:rsid w:val="008461C6"/>
    <w:rsid w:val="00847017"/>
    <w:rsid w:val="0085421A"/>
    <w:rsid w:val="0085548D"/>
    <w:rsid w:val="008A4859"/>
    <w:rsid w:val="008A7A39"/>
    <w:rsid w:val="008B2D50"/>
    <w:rsid w:val="008B35D2"/>
    <w:rsid w:val="008D293E"/>
    <w:rsid w:val="008E19AC"/>
    <w:rsid w:val="008F11F2"/>
    <w:rsid w:val="00901C81"/>
    <w:rsid w:val="00911EF7"/>
    <w:rsid w:val="00936E08"/>
    <w:rsid w:val="009409EA"/>
    <w:rsid w:val="00994F50"/>
    <w:rsid w:val="00A1684A"/>
    <w:rsid w:val="00A35853"/>
    <w:rsid w:val="00A61636"/>
    <w:rsid w:val="00A624BE"/>
    <w:rsid w:val="00AB4038"/>
    <w:rsid w:val="00B66177"/>
    <w:rsid w:val="00B81064"/>
    <w:rsid w:val="00B86087"/>
    <w:rsid w:val="00B87681"/>
    <w:rsid w:val="00BB1BCC"/>
    <w:rsid w:val="00BD3767"/>
    <w:rsid w:val="00BE22A2"/>
    <w:rsid w:val="00BE2769"/>
    <w:rsid w:val="00C11D93"/>
    <w:rsid w:val="00C27C71"/>
    <w:rsid w:val="00C331C5"/>
    <w:rsid w:val="00C366E0"/>
    <w:rsid w:val="00C54707"/>
    <w:rsid w:val="00C550F3"/>
    <w:rsid w:val="00C652D8"/>
    <w:rsid w:val="00C875D1"/>
    <w:rsid w:val="00CB1713"/>
    <w:rsid w:val="00CB1783"/>
    <w:rsid w:val="00CC7BBD"/>
    <w:rsid w:val="00CE34C3"/>
    <w:rsid w:val="00CF683A"/>
    <w:rsid w:val="00D07A90"/>
    <w:rsid w:val="00D2510B"/>
    <w:rsid w:val="00D57F1F"/>
    <w:rsid w:val="00D661BB"/>
    <w:rsid w:val="00D86D57"/>
    <w:rsid w:val="00D959E7"/>
    <w:rsid w:val="00DA154A"/>
    <w:rsid w:val="00DA3C5C"/>
    <w:rsid w:val="00DC0E61"/>
    <w:rsid w:val="00DC18A7"/>
    <w:rsid w:val="00DD0D2A"/>
    <w:rsid w:val="00E03054"/>
    <w:rsid w:val="00E401D5"/>
    <w:rsid w:val="00EB1E68"/>
    <w:rsid w:val="00EC0649"/>
    <w:rsid w:val="00EC57F0"/>
    <w:rsid w:val="00F22FB1"/>
    <w:rsid w:val="00F36869"/>
    <w:rsid w:val="00F41DE1"/>
    <w:rsid w:val="00F50278"/>
    <w:rsid w:val="00F511BF"/>
    <w:rsid w:val="00F63B8D"/>
    <w:rsid w:val="00F72213"/>
    <w:rsid w:val="00FA3B53"/>
    <w:rsid w:val="00FA6C9C"/>
    <w:rsid w:val="00FF4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87AE10"/>
  <w15:docId w15:val="{90F6A238-E7FD-4C5D-98E0-84185DD76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b/>
      <w:sz w:val="28"/>
      <w:szCs w:val="28"/>
    </w:rPr>
  </w:style>
  <w:style w:type="paragraph" w:styleId="Heading2">
    <w:name w:val="heading 2"/>
    <w:basedOn w:val="Normal"/>
    <w:next w:val="Normal"/>
    <w:uiPriority w:val="9"/>
    <w:semiHidden/>
    <w:unhideWhenUsed/>
    <w:qFormat/>
    <w:pPr>
      <w:keepNext/>
      <w:outlineLvl w:val="1"/>
    </w:pPr>
    <w:rPr>
      <w:b/>
    </w:rPr>
  </w:style>
  <w:style w:type="paragraph" w:styleId="Heading3">
    <w:name w:val="heading 3"/>
    <w:basedOn w:val="Normal"/>
    <w:next w:val="Normal"/>
    <w:uiPriority w:val="9"/>
    <w:semiHidden/>
    <w:unhideWhenUsed/>
    <w:qFormat/>
    <w:pPr>
      <w:keepNext/>
      <w:keepLines/>
      <w:spacing w:before="20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EB1E68"/>
    <w:rPr>
      <w:color w:val="0000FF" w:themeColor="hyperlink"/>
      <w:u w:val="single"/>
    </w:rPr>
  </w:style>
  <w:style w:type="character" w:styleId="UnresolvedMention">
    <w:name w:val="Unresolved Mention"/>
    <w:basedOn w:val="DefaultParagraphFont"/>
    <w:uiPriority w:val="99"/>
    <w:semiHidden/>
    <w:unhideWhenUsed/>
    <w:rsid w:val="00EB1E68"/>
    <w:rPr>
      <w:color w:val="605E5C"/>
      <w:shd w:val="clear" w:color="auto" w:fill="E1DFDD"/>
    </w:rPr>
  </w:style>
  <w:style w:type="paragraph" w:styleId="Footer">
    <w:name w:val="footer"/>
    <w:basedOn w:val="Normal"/>
    <w:link w:val="FooterChar"/>
    <w:uiPriority w:val="99"/>
    <w:unhideWhenUsed/>
    <w:rsid w:val="00C11D93"/>
    <w:pPr>
      <w:tabs>
        <w:tab w:val="center" w:pos="4680"/>
        <w:tab w:val="right" w:pos="9360"/>
      </w:tabs>
    </w:pPr>
  </w:style>
  <w:style w:type="character" w:customStyle="1" w:styleId="FooterChar">
    <w:name w:val="Footer Char"/>
    <w:basedOn w:val="DefaultParagraphFont"/>
    <w:link w:val="Footer"/>
    <w:uiPriority w:val="99"/>
    <w:rsid w:val="00C11D93"/>
  </w:style>
  <w:style w:type="paragraph" w:styleId="Revision">
    <w:name w:val="Revision"/>
    <w:hidden/>
    <w:uiPriority w:val="99"/>
    <w:semiHidden/>
    <w:rsid w:val="000B41B6"/>
    <w:pPr>
      <w:widowControl/>
      <w:jc w:val="left"/>
    </w:pPr>
  </w:style>
  <w:style w:type="paragraph" w:styleId="ListParagraph">
    <w:name w:val="List Paragraph"/>
    <w:basedOn w:val="Normal"/>
    <w:uiPriority w:val="34"/>
    <w:qFormat/>
    <w:rsid w:val="007D6BE0"/>
    <w:pPr>
      <w:widowControl/>
      <w:spacing w:after="200" w:line="276" w:lineRule="auto"/>
      <w:ind w:left="720"/>
      <w:contextualSpacing/>
      <w:jc w:val="left"/>
    </w:pPr>
    <w:rPr>
      <w:rFonts w:asciiTheme="minorHAnsi" w:eastAsiaTheme="minorHAnsi" w:hAnsiTheme="minorHAnsi" w:cstheme="minorBidi"/>
      <w:sz w:val="22"/>
      <w:szCs w:val="22"/>
    </w:rPr>
  </w:style>
  <w:style w:type="character" w:styleId="FollowedHyperlink">
    <w:name w:val="FollowedHyperlink"/>
    <w:basedOn w:val="DefaultParagraphFont"/>
    <w:uiPriority w:val="99"/>
    <w:semiHidden/>
    <w:unhideWhenUsed/>
    <w:rsid w:val="006755EE"/>
    <w:rPr>
      <w:color w:val="800080" w:themeColor="followedHyperlink"/>
      <w:u w:val="single"/>
    </w:rPr>
  </w:style>
  <w:style w:type="character" w:styleId="LineNumber">
    <w:name w:val="line number"/>
    <w:basedOn w:val="DefaultParagraphFont"/>
    <w:uiPriority w:val="99"/>
    <w:semiHidden/>
    <w:unhideWhenUsed/>
    <w:rsid w:val="00147CBA"/>
  </w:style>
  <w:style w:type="character" w:styleId="CommentReference">
    <w:name w:val="annotation reference"/>
    <w:basedOn w:val="DefaultParagraphFont"/>
    <w:uiPriority w:val="99"/>
    <w:semiHidden/>
    <w:unhideWhenUsed/>
    <w:rsid w:val="008B2D50"/>
    <w:rPr>
      <w:sz w:val="16"/>
      <w:szCs w:val="16"/>
    </w:rPr>
  </w:style>
  <w:style w:type="paragraph" w:styleId="CommentText">
    <w:name w:val="annotation text"/>
    <w:basedOn w:val="Normal"/>
    <w:link w:val="CommentTextChar"/>
    <w:uiPriority w:val="99"/>
    <w:unhideWhenUsed/>
    <w:rsid w:val="008B2D50"/>
    <w:rPr>
      <w:sz w:val="20"/>
      <w:szCs w:val="20"/>
    </w:rPr>
  </w:style>
  <w:style w:type="character" w:customStyle="1" w:styleId="CommentTextChar">
    <w:name w:val="Comment Text Char"/>
    <w:basedOn w:val="DefaultParagraphFont"/>
    <w:link w:val="CommentText"/>
    <w:uiPriority w:val="99"/>
    <w:rsid w:val="008B2D50"/>
    <w:rPr>
      <w:sz w:val="20"/>
      <w:szCs w:val="20"/>
    </w:rPr>
  </w:style>
  <w:style w:type="paragraph" w:styleId="CommentSubject">
    <w:name w:val="annotation subject"/>
    <w:basedOn w:val="CommentText"/>
    <w:next w:val="CommentText"/>
    <w:link w:val="CommentSubjectChar"/>
    <w:uiPriority w:val="99"/>
    <w:semiHidden/>
    <w:unhideWhenUsed/>
    <w:rsid w:val="008B2D50"/>
    <w:rPr>
      <w:b/>
      <w:bCs/>
    </w:rPr>
  </w:style>
  <w:style w:type="character" w:customStyle="1" w:styleId="CommentSubjectChar">
    <w:name w:val="Comment Subject Char"/>
    <w:basedOn w:val="CommentTextChar"/>
    <w:link w:val="CommentSubject"/>
    <w:uiPriority w:val="99"/>
    <w:semiHidden/>
    <w:rsid w:val="008B2D50"/>
    <w:rPr>
      <w:b/>
      <w:bCs/>
      <w:sz w:val="20"/>
      <w:szCs w:val="20"/>
    </w:rPr>
  </w:style>
  <w:style w:type="character" w:customStyle="1" w:styleId="cf01">
    <w:name w:val="cf01"/>
    <w:basedOn w:val="DefaultParagraphFont"/>
    <w:rsid w:val="0051691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ove.com/t/60874"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jove.com/author/editorial-policies"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jove.com/files/templates/JoVE_Materials.xls" TargetMode="External"/><Relationship Id="rId4" Type="http://schemas.openxmlformats.org/officeDocument/2006/relationships/webSettings" Target="webSettings.xml"/><Relationship Id="rId9" Type="http://schemas.openxmlformats.org/officeDocument/2006/relationships/hyperlink" Target="http://www.jove.com/t/60692"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6</Pages>
  <Words>1826</Words>
  <Characters>10411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Vineeta</dc:creator>
  <cp:lastModifiedBy>Anastasia Gomez</cp:lastModifiedBy>
  <cp:revision>7</cp:revision>
  <dcterms:created xsi:type="dcterms:W3CDTF">2026-01-06T15:03:00Z</dcterms:created>
  <dcterms:modified xsi:type="dcterms:W3CDTF">2026-01-07T03:24:00Z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3715554084b6a3f5e957734f7bc0a214320c29b962d00a0a526411b9a5528181</vt:lpwstr>
  </property>
</Properties>
</file>