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t>Dr. Arvind Rao</w:t>
      </w:r>
    </w:p>
    <w:p>
      <w:pPr>
        <w:spacing w:before="0" w:after="40" w:line="276" w:lineRule="auto"/>
      </w:pPr>
      <w:r>
        <w:t>Principal Machine Learning Scientist | LLMs, Multimodal AI &amp; PyTorch | 9+ Years</w:t>
      </w:r>
    </w:p>
    <w:p>
      <w:pPr>
        <w:spacing w:before="0" w:after="160" w:line="276" w:lineRule="auto"/>
      </w:pPr>
      <w:r>
        <w:t>Bengaluru, India | +91 98451 99001 | arvind.rao@ai-frontier.org | scholar.google.com/citations?user=arvindrao</w:t>
      </w:r>
    </w:p>
    <w:p>
      <w:pPr>
        <w:spacing w:before="160" w:after="60" w:line="276" w:lineRule="auto"/>
      </w:pPr>
      <w:r>
        <w:t>PROFESSIONAL SUMMARY</w:t>
      </w:r>
    </w:p>
    <w:p>
      <w:pPr>
        <w:spacing w:before="20" w:after="60" w:line="276" w:lineRule="auto"/>
      </w:pPr>
      <w:r>
        <w:t>Principal Machine Learning Scientist specialized in architecting machine learning and deep learning pipelines, predictive analytics models, and scalable AI solutions with Python, Pandas, and SQL.</w:t>
        <w:br/>
        <w:t>Ph.D. in Computer Science with 9+ years of specialized experience in Deep Learning, Natural Language Processing, and Generative AI research. Track record of designing foundation models, fine-tuning LLMs (LoRA, QLoRA, DPO, RLHF), and architecting production vector search pipelines handling millions of queries per day. Author of 12 peer-reviewed publications in top AI venues (NeurIPS, ACL, EMNLP). Expert in designing, deploying, and scaling enterprise machine learning and deep learning solutions, predictive models, and AI algorithms with Python, Pandas, and SQL.</w:t>
      </w:r>
    </w:p>
    <w:p>
      <w:pPr>
        <w:spacing w:before="160" w:after="60" w:line="276" w:lineRule="auto"/>
      </w:pPr>
      <w:r>
        <w:t>TECHNICAL SKILLS</w:t>
      </w:r>
    </w:p>
    <w:p>
      <w:pPr>
        <w:pStyle w:val="ListBullet"/>
        <w:spacing w:before="20" w:after="40" w:line="276" w:lineRule="auto"/>
      </w:pPr>
      <w:r>
        <w:t>Core Technical &amp; Engineering Competencies: Core Technical &amp; Engineering Competencies, Python, Machine Learning, SQL, TensorFlow, PyTorch</w:t>
        <w:br/>
        <w:t>Specialized Frameworks, Databases &amp; Tooling: Specialized Frameworks, Databases &amp; Tooling, Deep Learning, Apache Spark, AWS, GCP, MLOps, Docker, Triton Inference Server, NVIDIA GPU Clusters, Ray</w:t>
      </w:r>
    </w:p>
    <w:p>
      <w:pPr>
        <w:pStyle w:val="ListBullet"/>
        <w:spacing w:before="20" w:after="40" w:line="276" w:lineRule="auto"/>
      </w:pPr>
      <w:r>
        <w:t>GenAI &amp; NLP: Fine-tuning (PEFT/LoRA, DPO, RLHF), Retrieval-Augmented Generation (RAG), LangChain, LlamaIndex</w:t>
      </w:r>
    </w:p>
    <w:p>
      <w:pPr>
        <w:pStyle w:val="ListBullet"/>
        <w:spacing w:before="20" w:after="40" w:line="276" w:lineRule="auto"/>
      </w:pPr>
      <w:r>
        <w:t>MLOps &amp; Infra: Kubeflow, MLflow, Triton Inference Server, NVIDIA GPU Clusters, Ray, Docker</w:t>
      </w:r>
    </w:p>
    <w:p>
      <w:pPr>
        <w:pStyle w:val="ListBullet"/>
        <w:spacing w:before="20" w:after="40" w:line="276" w:lineRule="auto"/>
      </w:pPr>
      <w:r>
        <w:t>Mathematics: Linear Algebra, Multivariate Calculus, Probabilistic Graphical Models, Optimization Theory</w:t>
      </w:r>
    </w:p>
    <w:p>
      <w:pPr>
        <w:spacing w:before="160" w:after="60" w:line="276" w:lineRule="auto"/>
      </w:pPr>
      <w:r>
        <w:t>PROFESSIONAL EXPERIENCE</w:t>
      </w:r>
    </w:p>
    <w:p>
      <w:pPr>
        <w:spacing w:before="20" w:after="60" w:line="276" w:lineRule="auto"/>
      </w:pPr>
      <w:r>
        <w:t>Principal ML Scientist - Cognitive Systems Research | Bengaluru | 2021 - Present</w:t>
      </w:r>
    </w:p>
    <w:p>
      <w:pPr>
        <w:pStyle w:val="ListBullet"/>
        <w:spacing w:before="20" w:after="40" w:line="276" w:lineRule="auto"/>
      </w:pPr>
      <w:r>
        <w:t>Led team of 8 research engineers architecting domain-specific Machine Learning and Deep Learning models using Python, SQL, Pandas, PyTorch, TensorFlow, Scikit-Learn, and AWS.</w:t>
      </w:r>
    </w:p>
    <w:p>
      <w:pPr>
        <w:pStyle w:val="ListBullet"/>
        <w:spacing w:before="20" w:after="40" w:line="276" w:lineRule="auto"/>
      </w:pPr>
      <w:r>
        <w:t>Optimized multi-GPU training throughput with DeepSpeed ZeRO-3 and FlashAttention-2, achieving 2.8x speedup.</w:t>
      </w:r>
    </w:p>
    <w:p>
      <w:pPr>
        <w:pStyle w:val="ListBullet"/>
        <w:spacing w:before="20" w:after="40" w:line="276" w:lineRule="auto"/>
      </w:pPr>
      <w:r>
        <w:t>Designed low-latency RAG inference pipeline using Milvus and Triton, achieving p95 latency under 120ms.</w:t>
      </w:r>
    </w:p>
    <w:p>
      <w:pPr>
        <w:spacing w:before="20" w:after="60" w:line="276" w:lineRule="auto"/>
      </w:pPr>
      <w:r>
        <w:t>Senior Data Scientist - Analytics Mind Labs | Hyderabad | 2017 - 2021</w:t>
      </w:r>
    </w:p>
    <w:p>
      <w:pPr>
        <w:pStyle w:val="ListBullet"/>
        <w:spacing w:before="20" w:after="40" w:line="276" w:lineRule="auto"/>
      </w:pPr>
      <w:r>
        <w:t>Built transformer-based multilingual customer intent classification serving 40M daily active users.</w:t>
      </w:r>
    </w:p>
    <w:p>
      <w:pPr>
        <w:pStyle w:val="ListBullet"/>
        <w:spacing w:before="20" w:after="40" w:line="276" w:lineRule="auto"/>
      </w:pPr>
      <w:r>
        <w:t>Formulated anomaly detection models on streaming telemetry data with 94.2% precision and 91.5% recall.</w:t>
      </w:r>
    </w:p>
    <w:p>
      <w:pPr>
        <w:spacing w:before="160" w:after="60" w:line="276" w:lineRule="auto"/>
      </w:pPr>
      <w:r>
        <w:t>EDUCATION</w:t>
      </w:r>
    </w:p>
    <w:p>
      <w:pPr>
        <w:spacing w:before="20" w:after="60" w:line="276" w:lineRule="auto"/>
      </w:pPr>
      <w:r>
        <w:t>Ph.D. in Computer Science (Machine Learning), Indian Institute of Science | 2017</w:t>
        <w:br/>
        <w:t>Bachelor of Science in Computer Science &amp; Statistics | 2013</w:t>
      </w:r>
    </w:p>
    <w:p>
      <w:pPr>
        <w:spacing w:before="160" w:after="60" w:line="276" w:lineRule="auto"/>
      </w:pPr>
      <w:r>
        <w:t>CERTIFICATIONS</w:t>
      </w:r>
    </w:p>
    <w:p>
      <w:pPr>
        <w:pStyle w:val="ListBullet"/>
        <w:spacing w:before="20" w:after="40" w:line="276" w:lineRule="auto"/>
      </w:pPr>
      <w:r>
        <w:t>- AWS Certified Machine Learning - Specialty</w:t>
        <w:br/>
        <w:t>- TensorFlow Developer Certificate</w:t>
      </w:r>
    </w:p>
    <w:p>
      <w:pPr>
        <w:spacing w:before="160" w:after="60" w:line="276" w:lineRule="auto"/>
      </w:pPr>
      <w:r>
        <w:t>RESEARCH PROGRAMS &amp; PRODUCTION ML PROJECTS</w:t>
      </w:r>
    </w:p>
    <w:p>
      <w:pPr>
        <w:spacing w:before="20" w:after="60" w:line="276" w:lineRule="auto"/>
      </w:pPr>
      <w:r>
        <w:t>FinLLM Foundation Model Development - Domain-specific 7B parameter LLM fine-tuned for financial contract analysis and regulatory extraction.</w:t>
      </w:r>
    </w:p>
    <w:p>
      <w:pPr>
        <w:pStyle w:val="ListBullet"/>
        <w:spacing w:before="20" w:after="40" w:line="276" w:lineRule="auto"/>
      </w:pPr>
      <w:r>
        <w:t>Implemented parameter-efficient fine-tuning (PEFT/LoRA) and Direct Preference Optimization (DPO) on a curated 15B token corpus using PyTorch and DeepSpeed.</w:t>
      </w:r>
    </w:p>
    <w:p>
      <w:pPr>
        <w:pStyle w:val="ListBullet"/>
        <w:spacing w:before="20" w:after="40" w:line="276" w:lineRule="auto"/>
      </w:pPr>
      <w:r>
        <w:t>Achieved 2.8x training speedup utilizing FlashAttention-2, mixed-precision FP16/BF16, and ZeRO Stage 3 distributed sharding on 64 NVIDIA A100 GPUs.</w:t>
      </w:r>
    </w:p>
    <w:p>
      <w:pPr>
        <w:pStyle w:val="ListBullet"/>
        <w:spacing w:before="20" w:after="40" w:line="276" w:lineRule="auto"/>
      </w:pPr>
      <w:r>
        <w:t>Deployed Triton Inference Server with TensorRT-LLM and vLLM dynamic batching, achieving sub-90ms p95 generation latency for 20M enterprise queries monthly.</w:t>
      </w:r>
    </w:p>
    <w:p>
      <w:pPr>
        <w:spacing w:before="20" w:after="60" w:line="276" w:lineRule="auto"/>
      </w:pPr>
      <w:r>
        <w:t>Enterprise Cognitive RAG Engine - Enterprise Retrieval-Augmented Generation (RAG) platform with hybrid dense/sparse vector search.</w:t>
      </w:r>
    </w:p>
    <w:p>
      <w:pPr>
        <w:pStyle w:val="ListBullet"/>
        <w:spacing w:before="20" w:after="40" w:line="276" w:lineRule="auto"/>
      </w:pPr>
      <w:r>
        <w:t>Architected hybrid retrieval combining BM25 keyword matching with dense embeddings indexed in Milvus vector database.</w:t>
      </w:r>
    </w:p>
    <w:p>
      <w:pPr>
        <w:pStyle w:val="ListBullet"/>
        <w:spacing w:before="20" w:after="40" w:line="276" w:lineRule="auto"/>
      </w:pPr>
      <w:r>
        <w:t>Implemented reranking pipeline using Cross-Encoder models and LangChain agents, boosting contextual relevance precision from 68% to 92.4%.</w:t>
      </w:r>
    </w:p>
    <w:p>
      <w:pPr>
        <w:spacing w:before="160" w:after="60" w:line="276" w:lineRule="auto"/>
      </w:pPr>
      <w:r>
        <w:t>ACADEMIC PUBLICATIONS &amp; PATENTS</w:t>
      </w:r>
    </w:p>
    <w:p>
      <w:pPr>
        <w:pStyle w:val="ListBullet"/>
        <w:spacing w:before="20" w:after="40" w:line="276" w:lineRule="auto"/>
      </w:pPr>
      <w:r>
        <w:t>Lead author on 8 peer-reviewed research papers published in top-tier conferences including NeurIPS, ACL, and EMNLP.</w:t>
      </w:r>
    </w:p>
    <w:p>
      <w:pPr>
        <w:pStyle w:val="ListBullet"/>
        <w:spacing w:before="20" w:after="40" w:line="276" w:lineRule="auto"/>
      </w:pPr>
      <w:r>
        <w:t>Hold 2 granted US patents in automated multimodal document understanding and contrastive representation learning.</w:t>
      </w:r>
    </w:p>
    <w:p>
      <w:pPr>
        <w:spacing w:before="180" w:after="60" w:line="276" w:lineRule="auto"/>
      </w:pPr>
      <w:r>
        <w:t>IN-DEPTH ANALYTICAL PROJECTS &amp; DELIVERABLES</w:t>
      </w:r>
    </w:p>
    <w:p>
      <w:pPr>
        <w:spacing w:before="20" w:after="60" w:line="276" w:lineRule="auto"/>
      </w:pPr>
      <w:r>
        <w:t>Project: Multimodal Vision-Language Embedding Model - Trained contrastive vision-language representation model aligning clinical radiology images with text reports.</w:t>
      </w:r>
    </w:p>
    <w:p>
      <w:pPr>
        <w:pStyle w:val="ListBullet"/>
        <w:spacing w:before="20" w:after="40" w:line="276" w:lineRule="auto"/>
      </w:pPr>
      <w:r>
        <w:t>Trained dual-encoder transformer architecture on 2.4M chest X-ray image and clinical radiologist impression text pairs.</w:t>
      </w:r>
    </w:p>
    <w:p>
      <w:pPr>
        <w:pStyle w:val="ListBullet"/>
        <w:spacing w:before="20" w:after="40" w:line="276" w:lineRule="auto"/>
      </w:pPr>
      <w:r>
        <w:t>Utilized InfoNCE loss with hard negative mining, achieving state-of-the-art zero-shot retrieval accuracy of 88.4% on public benchmarks.</w:t>
      </w:r>
    </w:p>
    <w:p>
      <w:pPr>
        <w:pStyle w:val="ListBullet"/>
        <w:spacing w:before="20" w:after="40" w:line="276" w:lineRule="auto"/>
      </w:pPr>
      <w:r>
        <w:t>Optimized distributed training using PyTorch Fully Sharded Data Parallel (FSDP) across 32 NVIDIA H100 GPUs.</w:t>
      </w:r>
    </w:p>
    <w:p>
      <w:pPr>
        <w:spacing w:before="20" w:after="60" w:line="276" w:lineRule="auto"/>
      </w:pPr>
      <w:r>
        <w:t>Project: Synthetic Data Generation with Differential Privacy - Engineered generative model generating high-fidelity synthetic tabular financial datasets.</w:t>
      </w:r>
    </w:p>
    <w:p>
      <w:pPr>
        <w:pStyle w:val="ListBullet"/>
        <w:spacing w:before="20" w:after="40" w:line="276" w:lineRule="auto"/>
      </w:pPr>
      <w:r>
        <w:t>Implemented Conditional WGAN with gradient penalty and Renyi differential privacy guarantees (epsilon=1.2, delta=1e-5).</w:t>
      </w:r>
    </w:p>
    <w:p>
      <w:pPr>
        <w:pStyle w:val="ListBullet"/>
        <w:spacing w:before="20" w:after="40" w:line="276" w:lineRule="auto"/>
      </w:pPr>
      <w:r>
        <w:t>Preserved statistical correlation structures and marginal distributions while preventing re-identification of private banking records.</w:t>
      </w:r>
    </w:p>
    <w:p>
      <w:pPr>
        <w:spacing w:before="20" w:after="60" w:line="276" w:lineRule="auto"/>
      </w:pPr>
      <w:r>
        <w:t>Project: Edge AI Model Quantization &amp; Compilation - Compiled transformer language models for edge inferencing on resource-constrained devices.</w:t>
      </w:r>
    </w:p>
    <w:p>
      <w:pPr>
        <w:pStyle w:val="ListBullet"/>
        <w:spacing w:before="20" w:after="40" w:line="276" w:lineRule="auto"/>
      </w:pPr>
      <w:r>
        <w:t>Quantized FP16 model weights to INT4 and INT8 representations using AWQ (Activation-aware Weight Quantization) and GPTQ.</w:t>
      </w:r>
    </w:p>
    <w:p>
      <w:pPr>
        <w:pStyle w:val="ListBullet"/>
        <w:spacing w:before="20" w:after="40" w:line="276" w:lineRule="auto"/>
      </w:pPr>
      <w:r>
        <w:t>Achieved 3.4x memory reduction and 2.6x inference speedup with less than 0.8% perplexity degradation on downstream tasks.</w:t>
      </w:r>
    </w:p>
    <w:p>
      <w:pPr>
        <w:spacing w:before="180" w:after="60" w:line="276" w:lineRule="auto"/>
      </w:pPr>
      <w:r>
        <w:t>DATA SCIENCE GOVERNANCE &amp; METHODOLOGIES</w:t>
      </w:r>
    </w:p>
    <w:p>
      <w:pPr>
        <w:pStyle w:val="ListBullet"/>
        <w:spacing w:before="20" w:after="40" w:line="276" w:lineRule="auto"/>
      </w:pPr>
      <w:r>
        <w:t>Ethical AI &amp; Compliance: strict adherence to data privacy regulations (GDPR, HIPAA, DPDP Act), algorithmic bias auditing, and model explainability (SHAP, LIME).</w:t>
      </w:r>
    </w:p>
    <w:p>
      <w:pPr>
        <w:pStyle w:val="ListBullet"/>
        <w:spacing w:before="20" w:after="40" w:line="276" w:lineRule="auto"/>
      </w:pPr>
      <w:r>
        <w:t>Experiment Tracking &amp; Reproducibility: standard practice using Git, MLflow, Dockerized environments, and seeded pseudo-random cross-validation.</w:t>
      </w:r>
    </w:p>
    <w:p>
      <w:pPr>
        <w:pStyle w:val="ListBullet"/>
        <w:spacing w:before="20" w:after="40" w:line="276" w:lineRule="auto"/>
      </w:pPr>
      <w:r>
        <w:t>Collaborative Stakeholder Alignment: experience translating complex statistical findings into executive business recommendations and interactive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