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sz w:val="36"/>
        </w:rPr>
        <w:t>Pooja Agarwal</w:t>
      </w:r>
    </w:p>
    <w:p>
      <w:pPr>
        <w:spacing w:before="0" w:after="40" w:line="276" w:lineRule="auto"/>
      </w:pPr>
      <w:r>
        <w:rPr>
          <w:rFonts w:ascii="Calibri" w:hAnsi="Calibri"/>
          <w:b/>
          <w:sz w:val="22"/>
        </w:rPr>
        <w:t>Oracle Fusion Cloud Financials Consultant | GL, AP, AR &amp; Assets | 2.5 Years</w:t>
      </w:r>
    </w:p>
    <w:p>
      <w:pPr>
        <w:spacing w:before="0" w:after="160" w:line="276" w:lineRule="auto"/>
      </w:pPr>
      <w:r>
        <w:rPr>
          <w:rFonts w:ascii="Calibri" w:hAnsi="Calibri"/>
          <w:color w:val="505050"/>
          <w:sz w:val="19"/>
        </w:rPr>
        <w:t>Noida, India | +91 98110 55662 | pooja.agarwal@fusioncloud-fin.org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Junior Oracle Fusion ERP Cloud Consultant with 2.5 years of experience supporting Oracle Fusion Financials. Proficient in General Ledger (GL) journal entries, Payables invoice processing, and OTBI reporting.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TECHNICAL &amp; DOMAIN SKILLS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Oracle Fusion Cloud: </w:t>
      </w:r>
      <w:r>
        <w:rPr>
          <w:rFonts w:ascii="Calibri" w:hAnsi="Calibri"/>
          <w:sz w:val="20"/>
        </w:rPr>
        <w:t>Oracle Cloud Financials (GL, AP, AR), Subledger Accounting (SLA), OTBI Reporting, FBDI Data Loads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Associate ERP Consultant — </w:t>
      </w:r>
      <w:r>
        <w:rPr>
          <w:rFonts w:ascii="Calibri" w:hAnsi="Calibri"/>
          <w:sz w:val="20"/>
        </w:rPr>
        <w:t>Birlasoft | Noida | 2022 – Present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Supported daily business operations, journal entry approval workflows, and payment batch runs in Oracle Fusion AP/GL.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Created custom OTBI analytical queries and reports for senior finance controllers.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EDUCATION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B.Com (Honours), Delhi University | 2022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ORACLE FUSION FINANCIALS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Oracle Fusion Cloud Financial Operations — </w:t>
      </w:r>
      <w:r>
        <w:rPr>
          <w:rFonts w:ascii="Calibri" w:hAnsi="Calibri"/>
          <w:sz w:val="20"/>
        </w:rPr>
        <w:t>Oracle Fusion Cloud General Ledger and Payables implementation support.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Oracle Fusion Payables payment process requests (PPR), invoice validation approval rules, and 1099 vendor setups.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Managed monthly General Ledger journal entry imports, reversal rules, and foreign currency revaluations.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Created custom Oracle Transactional Business Intelligence (OTBI) financial reports tracking open payables aging and expense distribution.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DATA MIGRATION &amp; SUPPORT DISCIPLINE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Assisted in FBDI (File-Based Data Import) spreadsheet preparations for migrating legacy supplier master records and open AP invoices.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Supported business users during User Acceptance Testing (UAT), documenting issue resolutions in Oracle Service Cloud.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ENTERPRISE ERP &amp; APPLICATIONS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Oracle Fusion Cloud Payables &amp; Receivables Setup — </w:t>
      </w:r>
      <w:r>
        <w:rPr>
          <w:rFonts w:ascii="Calibri" w:hAnsi="Calibri"/>
          <w:sz w:val="20"/>
        </w:rPr>
        <w:t>Participated in full-lifecycle Oracle Fusion Financials Cloud implementation across North American business units.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Assisted in configuring Payables options, payment terms, distribution sets, invoice approval rules, and 1099 reporting.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Receivables customer profiles, transaction types, auto-accounting rules, and receipt classes.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Validated data migration loads of open supplier invoices and customer balances from legacy QuickBooks using FBDI templates.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Cash Management &amp; Bank Statement Auto-Reconciliation — </w:t>
      </w:r>
      <w:r>
        <w:rPr>
          <w:rFonts w:ascii="Calibri" w:hAnsi="Calibri"/>
          <w:sz w:val="20"/>
        </w:rPr>
        <w:t>Configured automated bank statement parsing and cash clearing rules within Oracle Fusion Cash Management.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Set up BAI2 and MT940 electronic bank statement formats with automated reconciliation rules matching transaction codes.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Reduced unapplied cash balances by 45% through automated matching of customer receipt references against open invoices.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User Acceptance Testing (UAT) &amp; Training Delivery — </w:t>
      </w:r>
      <w:r>
        <w:rPr>
          <w:rFonts w:ascii="Calibri" w:hAnsi="Calibri"/>
          <w:sz w:val="20"/>
        </w:rPr>
        <w:t>Authored comprehensive test scenarios and facilitated UAT sessions for 40 finance end-users.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Authored 15 detailed step-by-step Standard Operating Procedure (SOP) guides documenting daily invoicing, payment processing, and close tasks.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Provided dedicated hypercare support following go-live, logging defects and resolving system configuration tickets.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ERP IMPLEMENTATION &amp; FINANCIAL GOVERNANCE STANDARDS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Financial Controls &amp; Regulatory Compliance: rigorous enforcement of SOX internal controls, segregation of duties (SoD), and GAAP / IFRS standards.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Change Management &amp; Cutover Strategy: proven methodology covering sandbox configuration, UAT cycles, mock cutovers, and hypercare support.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Master Data Governance (MDG): strict validation and harmonization of chart of accounts, customer/vendor masters, and material hierarchies.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