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Abhishek Jain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Corporate Finance &amp; FP&amp;A Analyst | Chartered Accountant, Financial Modeling &amp; Hyperion User | 4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Jaipur, India | +91 98290 11223 | abhishek.jain.ca@finvest.com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Chartered Accountant with 4 years of corporate financial planning and analysis (FP&amp;A) experience. Heavy business user of Oracle Hyperion Smart View and SAP GUI for budget variance reporting and general ledger reconciliations. Seeking functional ERP consulting roles.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Finance &amp; Accounting: </w:t>
      </w:r>
      <w:r>
        <w:rPr>
          <w:rFonts w:ascii="Calibri" w:hAnsi="Calibri"/>
          <w:sz w:val="20"/>
        </w:rPr>
        <w:t>Statutory Audit, US GAAP, Financial Statement Analysis, Budget Forecasting, Variance Analysis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ERP User Experience: </w:t>
      </w:r>
      <w:r>
        <w:rPr>
          <w:rFonts w:ascii="Calibri" w:hAnsi="Calibri"/>
          <w:sz w:val="20"/>
        </w:rPr>
        <w:t>Hyperion Smart View Excel Add-in, SAP GUI FICO T-codes, Advanced Excel (VBA, Models)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Senior Financial Analyst — </w:t>
      </w:r>
      <w:r>
        <w:rPr>
          <w:rFonts w:ascii="Calibri" w:hAnsi="Calibri"/>
          <w:sz w:val="20"/>
        </w:rPr>
        <w:t>Genpact | Jaipur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Prepared monthly budget vs actual variance presentations for departmental CFO review using Smart View ad-hoc pulls.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Chartered Accountant (ICAI) | 2020; B.Com, University of Rajasthan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FINANCIAL ANALYSIS &amp; HYPERION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Corporate FP&amp;A &amp; Smart View Analysis — </w:t>
      </w:r>
      <w:r>
        <w:rPr>
          <w:rFonts w:ascii="Calibri" w:hAnsi="Calibri"/>
          <w:sz w:val="20"/>
        </w:rPr>
        <w:t>Corporate FP&amp;A variance reporting and forecasting using Oracle Smart View.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Utilized Oracle Hyperion Smart View Excel add-in to pull multi-dimensional budget and actual general ledger balances for executive reporting.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financial forecast models in Excel analyzing regional gross margins, operating expenses, and cash conversion cycles.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monthly balance sheet reconciliations and variance commentaries presented directly to the Corporate Controller.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ACCOUNTING EXPERTISE &amp; ERP CONSULTING READINESS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Chartered Accountant (ICAI) with deep practical understanding of accounting double-entry principles, statutory audits, and US GAAP / Ind 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Eager to leverage core accounting knowledge to specialize as a functional consultant in financial ERP systems.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Corporate FP&amp;A 5-Year Strategic Financial Planning — </w:t>
      </w:r>
      <w:r>
        <w:rPr>
          <w:rFonts w:ascii="Calibri" w:hAnsi="Calibri"/>
          <w:sz w:val="20"/>
        </w:rPr>
        <w:t>Built dynamic 5-year integrated financial model (P&amp;L, Balance Sheet, Cash Flow) supporting corporate board strategy.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Incorporated scenario sensitivity modeling for inflation, revenue fluctuations, interest rates, and debt refinancing terms.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Prepared monthly executive board presentations comparing budget vs actuals with detailed commentary on margin expansion.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Identified operational overhead redundancies that enabled $1.8M in annual SG&amp;A cost savings.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General Ledger Financial Integrity &amp; Month-End Close — </w:t>
      </w:r>
      <w:r>
        <w:rPr>
          <w:rFonts w:ascii="Calibri" w:hAnsi="Calibri"/>
          <w:sz w:val="20"/>
        </w:rPr>
        <w:t>Spearheaded month-end financial close process ensuring strict adherence to US GAAP and statutory accounting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Reviewed general ledger journal entries, balance sheet reconciliations, accruals, prepayments, and intercompany eliminations.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interactions with Big 4 external auditors during annual audits, delivering zero material weakness or restatement findings.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Capital Expenditure (Capex) &amp; M&amp;A Valuation Analysis — </w:t>
      </w:r>
      <w:r>
        <w:rPr>
          <w:rFonts w:ascii="Calibri" w:hAnsi="Calibri"/>
          <w:sz w:val="20"/>
        </w:rPr>
        <w:t>Evaluated major capital expenditure business cases and inorganic acquisition targets.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discounted cash flow (DCF), IRR, and payback period evaluations for $25M in manufacturing automation capital projects.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Performed financial due diligence and target company quality-of-earnings analysis on two prospective acquisition targets.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