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🧭 SWOT分析报告</w:t>
      </w:r>
    </w:p>
    <w:p>
      <w:pPr>
        <w:spacing w:after="100"/>
        <w:jc w:val="center"/>
      </w:pPr>
      <w:r>
        <w:rPr>
          <w:rFonts w:ascii="Arial" w:cs="Arial" w:eastAsia="Arial" w:hAnsi="Arial"/>
          <w:color w:val="283593"/>
          <w:sz w:val="36"/>
          <w:szCs w:val="36"/>
        </w:rPr>
        <w:t xml:space="preserve">新丝路·供应链矩阵计划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New Silk Road · Supply Chain Matrix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报告日期：2026年6月16日</w:t>
      </w:r>
    </w:p>
    <w:p>
      <w:pPr>
        <w:spacing w:after="200" w:before="600"/>
      </w:pPr>
      <w:r>
        <w:t xml:space="preserve"/>
      </w:r>
    </w:p>
    <w:p>
      <w:r>
        <w:br w:type="page"/>
      </w:r>
    </w:p>
    <w:p>
      <w:pPr>
        <w:pStyle w:val="Heading1"/>
        <w:spacing w:after="300" w:before="200"/>
      </w:pPr>
      <w:r>
        <w:rPr>
          <w:rFonts w:ascii="Arial" w:cs="Arial" w:eastAsia="Arial" w:hAnsi="Arial"/>
        </w:rPr>
        <w:t xml:space="preserve">💪 优势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79A" w:sz="8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💪 优势 STRENGTHS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双引擎商业模式创新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供应链提供深度，个体提供广度——角色分工清晰，形成叠加规模化优势。制造商专注品质，个体专注内容与流量。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庞大的灵活就业人群基础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中国灵活就业人口预计2026年达到3.2亿人次，其中约8400万已通过数字平台就业——天然的、低成本的招募池。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创始人IP与信任壁垒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「雨哥」20年外贸经验打造信任护城河，降低供应商与个体两端的获取成本，且难以复制。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个体零门槛入驻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无需营业执照、无需库存、无需物流。启动资金低至2000元。平台处理其余一切事务。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可持续飞轮效应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优质产品→销售→数据反馈→供应链优化→更多爆款→更多个体→更大生态。平台随规模增长而愈发有价值。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多元化收入结构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成熟期预计年收入3000-5000万元，来源包括佣金、会员费、供应商入驻费、增值服务及生态衍生收入。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S7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全链路服务基础设施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一站式服务：选品、培训、合规、仓储、结算、售后——参与者一旦嵌入便产生高转换成本。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S8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数据驱动的供应链反向优化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销售数据实时回流至供应商，实现「先卖再生产」——最大限度降低库存风险，使产能与真实需求对齐。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S9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成熟参考案例背书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对标SHEIN、苏宁、菜鸟、三节课等已验证模式，降低战略不确定性。</w:t>
            </w:r>
          </w:p>
        </w:tc>
      </w:tr>
    </w:tbl>
    <w:p>
      <w:pPr>
        <w:spacing w:after="200"/>
      </w:pPr>
    </w:p>
    <w:p>
      <w:pPr>
        <w:pStyle w:val="Heading1"/>
        <w:spacing w:after="300" w:before="400"/>
      </w:pPr>
      <w:r>
        <w:rPr>
          <w:rFonts w:ascii="Arial" w:cs="Arial" w:eastAsia="Arial" w:hAnsi="Arial"/>
        </w:rPr>
        <w:t xml:space="preserve">⚠️ 劣势 WEAKNESSES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2F2F" w:sz="8"/>
              <w:left w:val="single" w:color="999999" w:sz="1"/>
              <w:bottom w:val="single" w:color="999999" w:sz="1"/>
              <w:right w:val="single" w:color="999999" w:sz="1"/>
            </w:tcBorders>
            <w:shd w:fill="D32F2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⚠️ 劣势 WEAKNESSES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双边平台依赖风险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模式要求供应商端与个体端同时达到临界规模——任一端失败将导致鸡生蛋蛋生鸡式停滞。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6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W2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6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个体分成比例偏低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6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基础佣金仅5-15%，早期个体订单量少，收入可能不足以维持动力，导致高流失率。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W3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前期平台开发成本高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平台开发占成本结构20%，第一年需建设多个复杂系统，而收入尚未规模化。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6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W4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6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规模化后质量管控难度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6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管理300-500家供应商和5000-10000名个体，确保一致的品质与合规执行难度呈指数级上升。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W5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培训效果是核心瓶颈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个体成功完全取决于培训质量。若转化率不佳，个体侧的飞轮便会停滞。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6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6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知识付费业务整合风险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6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个体招募高度依赖知识付费漏斗——该领域的任何声誉问题将直接影响矩阵的参与者供给。</w:t>
            </w:r>
          </w:p>
        </w:tc>
      </w:tr>
    </w:tbl>
    <w:p>
      <w:pPr>
        <w:spacing w:after="200"/>
      </w:pPr>
    </w:p>
    <w:p>
      <w:pPr>
        <w:pStyle w:val="Heading1"/>
        <w:spacing w:after="300" w:before="400"/>
      </w:pPr>
      <w:r>
        <w:rPr>
          <w:rFonts w:ascii="Arial" w:cs="Arial" w:eastAsia="Arial" w:hAnsi="Arial"/>
        </w:rPr>
        <w:t xml:space="preserve">🌏 机会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999999" w:sz="1"/>
              <w:bottom w:val="single" w:color="999999" w:sz="1"/>
              <w:right w:val="single" w:color="999999" w:sz="1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🌏 机会 OPPORTUNITIES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灵活就业市场结构性红利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每年新增4000万灵活就业者进入市场——个体招募池增速远超任何平台可消化的速度。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O2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强力政策顺风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《就业优先战略“十五五”规划》（2026年）明确支持灵活就业与跨境创业。「新丝路」品牌自带政策亲和力。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O3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多平台扩张潜力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从TikTokShop拓展至Shopee、亚马逊、Temu及独立站——「多平台、单库存」模式以最小增量成本实现收入倍增。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O4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东南亚市场扩张机遇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电商市场高速增长、年轻数字原生人口、产品类别（家居用品、宠物产品、户外装备）与方案完美契合。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O5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生态金融服务机会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成熟期可提供供应链金融、广告及数据即服务产品——预计衍生收入流毛利率达80%。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低价值就业升级的社会价值变现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将配送骑手升级为跨境电商创业者，契合国家就业目标——有望解锁補贴、媒体关注及机构合作。</w:t>
            </w:r>
          </w:p>
        </w:tc>
      </w:tr>
    </w:tbl>
    <w:p>
      <w:pPr>
        <w:spacing w:after="200"/>
      </w:pPr>
    </w:p>
    <w:p>
      <w:pPr>
        <w:pStyle w:val="Heading1"/>
        <w:spacing w:after="300" w:before="400"/>
      </w:pPr>
      <w:r>
        <w:rPr>
          <w:rFonts w:ascii="Arial" w:cs="Arial" w:eastAsia="Arial" w:hAnsi="Arial"/>
        </w:rPr>
        <w:t xml:space="preserve">🚩 威胁 THREATS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🚩 威胁 THREATS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目标市场跨境监管政策风险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美国、欧盟及东南亚监管持续收紧——单一政策变动（TikTokShop规则、美国关税、欧盟产品责任）可能一夜扰乱整个网络。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模仿竞争风险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该模式概念简单、容易复制。资源更雄厚的大平台（1688、拼多多、字节跳动）一旦模式被验证，可能进入市场。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供应链可靠性风险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平台声誉完全依赖供应商表现。一个不良商家即可引发连锁订单纠纷、差评及平台禁封。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个体违规与平台声誉风险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数千名个体以平台品牌运营，少数人的欺诈、知识产权侵权或虚假宣传可能引发监管审查和大规模退出。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宏观经济与地缘政治风险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全球经济下行、中美贸易摩擦或东南亚政局不稳可能扰乱物流、支付通道或市场准入——基本超出平台控制范围。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个体流失与持续激励挑战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低门槛吸引无承诺参与者。早期5-8%佣金可能形成「旋转门」效应，消耗培训资源而无法产生可持续销售。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200"/>
      </w:pPr>
      <w:r>
        <w:rPr>
          <w:rFonts w:ascii="Arial" w:cs="Arial" w:eastAsia="Arial" w:hAnsi="Arial"/>
        </w:rPr>
        <w:t xml:space="preserve">📊 战略总结 STRATEGIC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核心洞察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最大优势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飞轮模型 + 创始人IP = 复合优势，难以快速复制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最关键的劣势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个体流失风险可能破坏双引擎模式中的「广度」一侧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最高价值机会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多平台扩张 + 供应链金融 = 以最小增量成本实现指数级收入增长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最危险的威胁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TikTokShop政策变动或监管转向可能一夜颠覆整个模式</w:t>
            </w:r>
          </w:p>
        </w:tc>
      </w:tr>
    </w:tbl>
    <w:p>
      <w:pPr>
        <w:spacing w:after="3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🎯 战略建议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该计划近期的首要任务是验证个体留存飞轮——证明经过培训的个体能在90天内实现稳定月收入3000元以上。这一核心指标一旦达成，将为供应商招募和个体规模化扩张提供强有力的社会证明。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plan’s greatest near-term priority should be proving the individual retention flywheel — demonstrating that trained individuals can achieve ¥3,000+/month within 90 days. This single metric validates the entire model and creates the social proof needed to scale both supplier recruitment and individual onboarding.</w:t>
      </w:r>
    </w:p>
    <w:p>
      <w:pPr>
        <w:spacing w:before="6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报告完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新丝路·供应链矩阵计划 — SWOT分析报告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2026-06-16T08:05:16.738Z</dcterms:created>
  <dcterms:modified xsi:type="dcterms:W3CDTF">2026-06-16T08:05:16.738Z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