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Airtel - Finance Review</w:t>
      </w:r>
    </w:p>
    <w:p>
      <w:r>
        <w:t>Client: Airtel</w:t>
      </w:r>
    </w:p>
    <w:p>
      <w:r>
        <w:t>Service Line: Finance</w:t>
      </w:r>
    </w:p>
    <w:p>
      <w:r>
        <w:t>Document Type: Review</w:t>
      </w:r>
    </w:p>
    <w:p>
      <w:r>
        <w:t>Date: 2026-04-18</w:t>
      </w:r>
    </w:p>
    <w:p/>
    <w:p>
      <w:r>
        <w:t>Investment portfolio analysis recommends diversification across emerging markets and technology sectors.</w:t>
      </w:r>
    </w:p>
    <w:p>
      <w:r>
        <w:t>Financial analysis for Airtel. Revenue projections for FY2026 show 18% growth driven by new product launches.</w:t>
      </w:r>
    </w:p>
    <w:p>
      <w:r>
        <w:t>Risk assessment highlights currency fluctuations and regulatory changes as key financial considerations.</w:t>
      </w:r>
    </w:p>
    <w:p/>
    <w:p>
      <w:r>
        <w:t>Contact Information: Employee ID: EMP14520, Phone: +91-9876514520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