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Apollo Hospitals - Finance Report</w:t>
      </w:r>
    </w:p>
    <w:p>
      <w:r>
        <w:t>Client: Apollo Hospitals</w:t>
      </w:r>
    </w:p>
    <w:p>
      <w:r>
        <w:t>Service Line: Finance</w:t>
      </w:r>
    </w:p>
    <w:p>
      <w:r>
        <w:t>Document Type: Report</w:t>
      </w:r>
    </w:p>
    <w:p>
      <w:r>
        <w:t>Date: 2026-04-18</w:t>
      </w:r>
    </w:p>
    <w:p/>
    <w:p>
      <w:r>
        <w:t>Risk assessment highlights currency fluctuations and regulatory changes as key financial considerations.</w:t>
      </w:r>
    </w:p>
    <w:p>
      <w:r>
        <w:t>Cash flow projections indicate strong liquidity position with healthy working capital ratios.</w:t>
      </w:r>
    </w:p>
    <w:p>
      <w:r>
        <w:t>Investment portfolio analysis recommends diversification across emerging markets and technology sectors.</w:t>
      </w:r>
    </w:p>
    <w:p/>
    <w:p>
      <w:r>
        <w:t>Contact Information: SSN: 123-45-6789, Credit Card: 4532-1234-5678-9010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