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Apollo Hospitals - Strategy Report</w:t>
      </w:r>
    </w:p>
    <w:p>
      <w:r>
        <w:t>Client: Apollo Hospitals</w:t>
      </w:r>
    </w:p>
    <w:p>
      <w:r>
        <w:t>Service Line: Strategy</w:t>
      </w:r>
    </w:p>
    <w:p>
      <w:r>
        <w:t>Document Type: Report</w:t>
      </w:r>
    </w:p>
    <w:p>
      <w:r>
        <w:t>Date: 2026-04-18</w:t>
      </w:r>
    </w:p>
    <w:p/>
    <w:p>
      <w:r>
        <w:t>Market analysis shows strong growth potential in tier-2 and tier-3 cities. Projected revenue increase of 25-30% YoY.</w:t>
      </w:r>
    </w:p>
    <w:p>
      <w:r>
        <w:t>Competitive landscape analysis reveals opportunities in digital transformation and customer experience enhancement.</w:t>
      </w:r>
    </w:p>
    <w:p>
      <w:r>
        <w:t>Five-year strategic roadmap includes technology modernization, talent acquisition, and market expansion initiatives.</w:t>
      </w:r>
    </w:p>
    <w:p/>
    <w:p>
      <w:r>
        <w:t>Contact Information: SSN: 123-45-6789, Credit Card: 4532-1234-5678-9010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