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Tata Motors - HR Analysis</w:t>
      </w:r>
    </w:p>
    <w:p>
      <w:r>
        <w:t>Client: Tata Motors</w:t>
      </w:r>
    </w:p>
    <w:p>
      <w:r>
        <w:t>Service Line: HR</w:t>
      </w:r>
    </w:p>
    <w:p>
      <w:r>
        <w:t>Document Type: Analysis</w:t>
      </w:r>
    </w:p>
    <w:p>
      <w:r>
        <w:t>Date: 2026-04-18</w:t>
      </w:r>
    </w:p>
    <w:p/>
    <w:p>
      <w:r>
        <w:t>Diversity and inclusion initiatives aim for 40% representation across all management levels by 2025.</w:t>
      </w:r>
    </w:p>
    <w:p>
      <w:r>
        <w:t>Learning and development programs have trained 2,000+ employees in digital skills and leadership.</w:t>
      </w:r>
    </w:p>
    <w:p>
      <w:r>
        <w:t>Employee engagement survey results show 85% satisfaction with current workplace culture and benefits.</w:t>
      </w:r>
    </w:p>
    <w:p/>
    <w:p>
      <w:r>
        <w:t>Contact Information: Employee ID: EMP15886, Phone: +91-9876515886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