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Student Body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 has a student population of </w:t>
      </w:r>
      <w:r w:rsidDel="00000000" w:rsidR="00000000" w:rsidRPr="00000000">
        <w:rPr>
          <w:rtl w:val="0"/>
        </w:rPr>
        <w:t xml:space="preserve">8,669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5,</w:t>
      </w:r>
      <w:r w:rsidDel="00000000" w:rsidR="00000000" w:rsidRPr="00000000">
        <w:rPr>
          <w:rtl w:val="0"/>
        </w:rPr>
        <w:t xml:space="preserve">694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 students and </w:t>
      </w:r>
      <w:r w:rsidDel="00000000" w:rsidR="00000000" w:rsidRPr="00000000">
        <w:rPr>
          <w:rtl w:val="0"/>
        </w:rPr>
        <w:t xml:space="preserve">2,975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students. The undergraduate population has a male-to-female ratio of 50-to-50, and about 5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identify themselves as persons of color. About </w:t>
      </w: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undergraduates are from California, with the others coming from throughout the United States and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countries. </w:t>
      </w:r>
      <w:r w:rsidDel="00000000" w:rsidR="00000000" w:rsidRPr="00000000">
        <w:rPr>
          <w:rtl w:val="0"/>
        </w:rPr>
        <w:t xml:space="preserve">Seventy-eight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receive financial aid–based scholarships, grants, or loans. More than half (5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percent) of the undergraduate population live in University housing, with 9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and 7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sophomores living on campus. Students experience an average class size of 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fewer than 20 students, and only </w:t>
      </w:r>
      <w:r w:rsidDel="00000000" w:rsidR="00000000" w:rsidRPr="00000000">
        <w:rPr>
          <w:rtl w:val="0"/>
        </w:rPr>
        <w:t xml:space="preserve">0.4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50 or more students. The student-to-faculty ratio is </w:t>
      </w:r>
      <w:r w:rsidDel="00000000" w:rsidR="00000000" w:rsidRPr="00000000">
        <w:rPr>
          <w:rtl w:val="0"/>
        </w:rPr>
        <w:t xml:space="preserve">10.28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-to-1.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University’s commitment to learning is expressed in the fact that </w:t>
      </w:r>
      <w:r w:rsidDel="00000000" w:rsidR="00000000" w:rsidRPr="00000000">
        <w:rPr>
          <w:rtl w:val="0"/>
        </w:rPr>
        <w:t xml:space="preserve">94.1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advance to the sophomore year, and the percentage of Santa Clara students who graduate is among the highest in the country. The four-year graduation rate for entering first-year students is </w:t>
      </w:r>
      <w:r w:rsidDel="00000000" w:rsidR="00000000" w:rsidRPr="00000000">
        <w:rPr>
          <w:rtl w:val="0"/>
        </w:rPr>
        <w:t xml:space="preserve">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percent, with a five-year graduation rate of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and a six-year graduation rate of </w:t>
      </w: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