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Study Abroad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Santa Clara provides students with opportunities to study abroad during four terms: summer, fall, winter, and spring. Studying abroad during the fall, winter, and spring may be highly competitive and not all qualified applicants may be approved. Studying abroad during the summer is not competitive. Students may study abroad during the summer following their first year, sophomore, or junior year. Students studying abroad during the fall, winter, or spring may do so once during their junior or senior year. Length of study abroad programs vary including short-term over the summer, fall quarter, fall semester, winter quarter, spring quarter, and spring semester.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completed in approved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 programs count toward elective credit requirements for graduation and may fulfill major, minor, and Core requirements with prior approval from the department or the Core director.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diverse bac</w:t>
      </w:r>
      <w:r w:rsidDel="00000000" w:rsidR="00000000" w:rsidRPr="00000000">
        <w:rPr>
          <w:rtl w:val="0"/>
        </w:rPr>
        <w:t xml:space="preserve">kgrounds and first-generation students are strongly encouraged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apply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Study Abroad Office </w:t>
      </w:r>
      <w:r w:rsidDel="00000000" w:rsidR="00000000" w:rsidRPr="00000000">
        <w:rPr>
          <w:rtl w:val="0"/>
        </w:rPr>
        <w:t xml:space="preserve">provides advising and scholarships.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on </w:t>
      </w:r>
      <w:r w:rsidDel="00000000" w:rsidR="00000000" w:rsidRPr="00000000">
        <w:rPr>
          <w:rtl w:val="0"/>
        </w:rPr>
        <w:t xml:space="preserve">Santa Clara’s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Abroad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see Chapter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