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Gerontology Certificate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Patricia M. Simone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Gerontology is the study of </w:t>
      </w:r>
      <w:r w:rsidDel="00000000" w:rsidR="00000000" w:rsidRPr="00000000">
        <w:rPr>
          <w:rtl w:val="0"/>
        </w:rPr>
        <w:t xml:space="preserve">the aging process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adults over 65. Majors from any field may enhance their credentials and their ability to work with this population through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Students examine influences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and quality of life of aged adults as well as physical and psychological aspects of aging. Courses investigate perceptions about aging and aged adults in various societies and how the experiences of older people differ according to culture, ethnicity, class, and gender. Students complete a practicum that gives them experience working with aged adults. Completion of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is noted on a student’s transcript and with a certificate acknowledging their achievement.</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Certificate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to receive a certificate in gerontology: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the following: SOCI 1 (Principles of Sociology), ANTH 3 (Introduction to Social and Cultural Anthropology), PSYC 1 or PSYC 2 (General Psychology I or II), or PHSC 21 (Health and Aging)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from the following (one must be ANTH 172 or PSYC 196): ANTH 172 (Anthropology of Aging), PSYC 196 (Psychology of Aging), PSYC 117 (Health Psychology), PSYC 119 (Psychology of Death, Dying, and Loss), SOCI 172 (Management of Health Care Organizations), SOCI 138 (Populations of India, China, and the United States), SOCI 148 (Stakeholder Diversity in Contemporary American Organizations), TESP 157 (Ethics in the Health Professions), or any gerontology-related course with approval of the director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gerontology-related practicum approved by the director (typically completed during your senior year)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