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School of Engineering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w:t>
      </w:r>
      <w:r w:rsidDel="00000000" w:rsidR="00000000" w:rsidRPr="00000000">
        <w:rPr>
          <w:rtl w:val="0"/>
        </w:rPr>
        <w:t xml:space="preserve"> Elaine Scott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Undergraduate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Ruth E. Davis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Aleksandar Zecevic</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Research and Faculty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Christopher Kitts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 of Undergraduate Programs in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Shane Wibeto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mission of the School of Engineering is to educate and serve students for the benefit of the Silicon Valley area, the state, the nation, and the world. The engineering school does this through academic programs that educate professional engineers who practice with competence, conscience, and compassion, through scholarly activities that create and disseminate new knowledge, and through service activities that benefit our various constituencies and humanity in general.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courses offered through the School of Engineering are taught under tenets set forth in the Engineering Honor Code. The Engineering Honor Code is a longstanding Santa Clara tradition instituted at the request of students. The code states: “All students taking courses in the School of Engineering agree, individually and collectively, that they will not give or receive unpermitted aid in examinations or other coursework that is to be used by the instructor as the basis of grading.” Students and teachers cooperate and share responsibilities under the code. Teachers are responsible for making clear what aid is permissible and for using procedures that minimize temptations to violate the code. Students are responsible for behaving honorably, for actively ensuring that others uphold the code, and for being responsive to violations.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