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and Administrative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Student Responsibility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personally responsible for knowing all academic and administrative policies and regulations affecting their program of study and for abiding by all such policies and regulations during their period of enrollment at the University. Continued enrollment is subject to compliance with the academic and administrative policies and regulations as described herein and otherwise published by the University. Failure to understand the policies and regulations does not relieve a student of the responsibility for adhering to the policies and regulations.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