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Office of Student Fellowships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Office of Student Fellowships at Santa Clara was established in 2005 to provide the central management and administrative responsibility for advising students about a wide variety of highly competitive external fellowships, scholarships, awards, and prizes requiring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nomination, endorsement, or review. The Office of Student Fellowships mentors and advises students about their academic, service, and volunteer work in pursuit of the more than 25 named fellowships for which Santa Clara students are eligible (e.g., Rhodes, Marshall, Fulbright, Goldwater, Truman, and Udall) as well as provides direct support for potential candidates in the application process.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Office of Student Fellowships responds to two principles of Jesuit education. The first,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cura personalis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care for the whole person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reflects a deep respect for the individual and that person’s potential. The second,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magis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(striv</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w:t>
      </w:r>
      <w:r w:rsidDel="00000000" w:rsidR="00000000" w:rsidRPr="00000000">
        <w:rPr>
          <w:rtl w:val="0"/>
        </w:rPr>
        <w:t xml:space="preserve">excellence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calls on students to do their very best and always to strive for personal excellence. The Office of Student Fellowships helps extraordinary students do extraordinary things.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