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Global Engagement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Global Engagement’s mission is: </w:t>
      </w:r>
      <w:r w:rsidDel="00000000" w:rsidR="00000000" w:rsidRPr="00000000">
        <w:rPr>
          <w:i w:val="1"/>
          <w:rtl w:val="0"/>
        </w:rPr>
        <w:t xml:space="preserve">To ignite curiosity and foster understanding about the world and SCU’s place in it by connecting students, faculty and staff through teaching learning and research</w:t>
      </w:r>
      <w:r w:rsidDel="00000000" w:rsidR="00000000" w:rsidRPr="00000000">
        <w:rPr>
          <w:rtl w:val="0"/>
        </w:rPr>
        <w:t xml:space="preserve">. In keeping with that mission, Global Engagement provides leadership, strategy and resources that support global diversity and learning at the University.  Global Engagement units include Study Abroad and International Students and Scholars.  Programs and initiatives include:  international partnerships, international programs, the Global Engagement Global Innovation Fellowship, the Global Community Engagement Fellowship, Global Internships, UK Fulbright Summer Programs, Virtual Global Internships, the International Studies Minor, and Faculty Fulbright grants.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Associate Provost for International Programs works with departments across the University to develop global partnerships and programs, as well as to support university-sponsored international travel.   </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