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School of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w:t>
      </w:r>
      <w:r w:rsidDel="00000000" w:rsidR="00000000" w:rsidRPr="00000000">
        <w:rPr>
          <w:rtl w:val="0"/>
        </w:rPr>
        <w:t xml:space="preserve"> Elaine Scott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Sally Wood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Dean for Research and </w:t>
      </w:r>
      <w:r w:rsidDel="00000000" w:rsidR="00000000" w:rsidRPr="00000000">
        <w:rPr>
          <w:i w:val="1"/>
          <w:rtl w:val="0"/>
        </w:rPr>
        <w:t xml:space="preserve">Interdisciplinary Programs and Initiatives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Kitts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Associate Deans for Mission, Culture, and Inclusion: Silvia Figueira and Aleksander Zecevic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 of Undergraduate Programs in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Shane Wibeto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12529"/>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School of Engineering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color w:val="212529"/>
          <w:rtl w:val="0"/>
        </w:rPr>
        <w:t xml:space="preserve">is to prepare diverse students for professional excellence, responsible citizenship, and service to society. The engineering school does this through:</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Distinctive academic programs that are designed to produce engineers who approach their profession with competence, conscience, and compassion.</w:t>
      </w:r>
    </w:p>
    <w:p w:rsidR="00000000" w:rsidDel="00000000" w:rsidP="00000000" w:rsidRDefault="00000000" w:rsidRPr="00000000" w14:paraId="0000000A">
      <w:pPr>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Broadly educated faculty, who model and encourage the notion of lifelong learning.</w:t>
      </w:r>
    </w:p>
    <w:p w:rsidR="00000000" w:rsidDel="00000000" w:rsidP="00000000" w:rsidRDefault="00000000" w:rsidRPr="00000000" w14:paraId="0000000B">
      <w:pPr>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Scholarly activities that create new knowledge and advance the state of the art of technology.</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Interactions with professional societies and companies in Silicon Valley and beyond.</w:t>
      </w:r>
    </w:p>
    <w:p w:rsidR="00000000" w:rsidDel="00000000" w:rsidP="00000000" w:rsidRDefault="00000000" w:rsidRPr="00000000" w14:paraId="0000000D">
      <w:pPr>
        <w:numPr>
          <w:ilvl w:val="0"/>
          <w:numId w:val="1"/>
        </w:numPr>
        <w:shd w:fill="ffffff" w:val="clear"/>
        <w:spacing w:after="240" w:lineRule="auto"/>
        <w:ind w:left="720" w:hanging="360"/>
        <w:rPr>
          <w:rFonts w:ascii="Cambria" w:cs="Cambria" w:eastAsia="Cambria" w:hAnsi="Cambria"/>
        </w:rPr>
      </w:pPr>
      <w:r w:rsidDel="00000000" w:rsidR="00000000" w:rsidRPr="00000000">
        <w:rPr>
          <w:color w:val="212529"/>
          <w:rtl w:val="0"/>
        </w:rPr>
        <w:t xml:space="preserve">Service activities that benefit our diverse constituencies and humanity in general.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offered through the School of Engineering are taught under tenets set forth in the Engineering Honor Code. The Engineering Honor Code is a longstanding Santa Clara tradition instituted at the request of students. The code states: “All students taking courses in the School of Engineering agree, individually and collectively, that they will not give or receive unpermitted aid in examinations or other coursework that is to be used by the instructor as the basis of grading.” Students and teachers cooperate and share responsibilities under the code. Teachers are responsible for making clear what aid is permissible and for using procedures that minimize temptations to violate the code. Students are responsible for behaving honorably, for actively ensuring that others uphold the code, and for being responsive to violations.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