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Musical Theatre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Director: Barbara Murray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Musical Theatre Minor offers experience and training in music, theatre, and dance, as well as musical theatre history. The objectives of this program include entry-level proficiency for a career in performance, enhancement in teaching, or further training in graduate school; audition techniques; performance of acting, singing, and theatrical dance; and knowledge of the cultural history and various forms of musical theatre. Students may, through repertoire choices decided in consultation with their instructors, focus their vocal work with emphasis on a Broadway or more Opera style.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Style w:val="Heading2"/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Requirements for the Minor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students must complete the following: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Music Theory: One course each in Music Theory and Aural Skills.</w:t>
        <w:br w:type="textWrapping"/>
        <w:t xml:space="preserve">Suggested: MUSC 1 and 1A. Placement tests may be taken to determine if a higher level is appropriate.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Singing: MUSC 34, and three quarters of on-campus private voice instruction. (Placement test required. If placement test determines a higher level of proficiency, an additional three quarters of on-campus private voice instruction may be substituted for the MUSC 34 requirement.)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Acting: One of THTR 8, 10, or 24,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Dance: </w:t>
        <w:br w:type="textWrapping"/>
        <w:t xml:space="preserve">- Four units in Dance Technique (DANC 40-47 or higher level depending upon proficiency). DANC 40 and 41 (or higher level depending upon proficiency) recommended for those interested in Broadway.</w:t>
        <w:br w:type="textWrapping"/>
        <w:t xml:space="preserve">- DANC 55/155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addition to the above, students must complete two of the following: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THTR 123, or THTR 165, or THTR 80/180, or MUSC 53/153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