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The Writing Center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HUB Writing Center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drop-in writing support to graduate and undergraduate students as well as workshops in public speaking, revising and editing, developing personal statements and cover letters, grammar basics, Pathway essay writing, and workshops for students for whom English is not their native language. The writing center also offers students the opportunity to become HUB writing partners and to participate in independent studies or research projects.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provost/writ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