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Academic and Administrative Policies and Regulations</w:t>
      </w:r>
    </w:p>
    <w:bookmarkStart w:colFirst="0" w:colLast="0" w:name="30j0zll" w:id="1"/>
    <w:bookmarkEnd w:id="1"/>
    <w:p w:rsidR="00000000" w:rsidDel="00000000" w:rsidP="00000000" w:rsidRDefault="00000000" w:rsidRPr="00000000" w14:paraId="00000002">
      <w:pPr>
        <w:pStyle w:val="Heading2"/>
        <w:pageBreakBefore w:val="0"/>
        <w:rPr/>
      </w:pPr>
      <w:r w:rsidDel="00000000" w:rsidR="00000000" w:rsidRPr="00000000">
        <w:rPr>
          <w:rtl w:val="0"/>
        </w:rPr>
        <w:t xml:space="preserve">Student Responsibility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personally responsible for knowing all academic and administrative policies and regulations affecting their program of study and for abiding by all such policies and regulations during their period of enrollment at the University.</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Students are also </w:t>
      </w:r>
      <w:r w:rsidDel="00000000" w:rsidR="00000000" w:rsidRPr="00000000">
        <w:rPr>
          <w:rtl w:val="0"/>
        </w:rPr>
        <w:t xml:space="preserve">personally responsible for reading all related messages (email, and other) received from the University and its administrators.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enrollment is subject to compliance with the academic and administrative policies and regulations as described herein and otherwise published by the University. Failure to understand the policies and regulations does not relieve a student of the responsibility for adhering to the policies and regulations.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