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DATA PROCESSING AGREEMENT</w:t>
      </w:r>
    </w:p>
    <w:p>
      <w:pPr>
        <w:spacing w:after="240"/>
        <w:jc w:val="center"/>
      </w:pPr>
      <w:r>
        <w:rPr>
          <w:i/>
          <w:iCs/>
          <w:sz w:val="24"/>
          <w:szCs w:val="24"/>
        </w:rPr>
        <w:t xml:space="preserve">GDPR-Compliant Addendum to Terms of Service</w:t>
      </w:r>
    </w:p>
    <w:p>
      <w:pPr>
        <w:spacing w:after="480"/>
        <w:jc w:val="center"/>
      </w:pPr>
      <w:r>
        <w:rPr>
          <w:i/>
          <w:iCs/>
          <w:sz w:val="22"/>
          <w:szCs w:val="22"/>
        </w:rPr>
        <w:t xml:space="preserve">Last Updated: January 9, 2026</w:t>
      </w:r>
    </w:p>
    <w:p>
      <w:pPr>
        <w:spacing w:after="240"/>
      </w:pPr>
      <w:r>
        <w:t xml:space="preserve">This Data Processing Agreement ("DPA") forms part of the Terms of Service ("Agreement") between [COMPANY NAME] ("Processor", "we", "us", or "our") and you ("Controller", "you", or "your") for the use of our software-as-a-service platform ("Service").</w:t>
      </w:r>
    </w:p>
    <w:p>
      <w:pPr>
        <w:spacing w:after="480"/>
      </w:pPr>
      <w:r>
        <w:t xml:space="preserve">This DPA reflects the parties' agreement with regard to the processing of Personal Data in accordance with the requirements of Data Protection Laws, including (where applicable) the General Data Protection Regulation (EU) 2016/679 ("GDPR") and the UK Data Protection Act 2018.</w:t>
      </w:r>
    </w:p>
    <w:p>
      <w:pPr>
        <w:pStyle w:val="Heading2"/>
      </w:pPr>
      <w:r>
        <w:t xml:space="preserve">1. DEFINITIONS</w:t>
      </w:r>
    </w:p>
    <w:p>
      <w:pPr>
        <w:spacing w:after="240"/>
      </w:pPr>
      <w:r>
        <w:t xml:space="preserve">For the purposes of this DPA, the following terms shall have the meanings set forth below:</w:t>
      </w:r>
    </w:p>
    <w:p>
      <w:pPr>
        <w:spacing w:after="120"/>
      </w:pPr>
      <w:r>
        <w:rPr>
          <w:b/>
          <w:bCs/>
        </w:rPr>
        <w:t xml:space="preserve">"Data Protection Laws"</w:t>
      </w:r>
      <w:r>
        <w:t xml:space="preserve"> means all applicable laws and regulations relating to the processing of Personal Data, including (where applicable) GDPR, the UK Data Protection Act 2018, the California Consumer Privacy Act (CCPA), and the Brazilian Lei Geral de Proteção de Dados (LGPD).</w:t>
      </w:r>
    </w:p>
    <w:p>
      <w:pPr>
        <w:spacing w:after="120"/>
      </w:pPr>
      <w:r>
        <w:rPr>
          <w:b/>
          <w:bCs/>
        </w:rPr>
        <w:t xml:space="preserve">"Personal Data"</w:t>
      </w:r>
      <w:r>
        <w:t xml:space="preserve"> means any information relating to an identified or identifiable natural person that is processed by the Processor on behalf of the Controller in connection with the Service.</w:t>
      </w:r>
    </w:p>
    <w:p>
      <w:pPr>
        <w:spacing w:after="120"/>
      </w:pPr>
      <w:r>
        <w:rPr>
          <w:b/>
          <w:bCs/>
        </w:rPr>
        <w:t xml:space="preserve">"Processing"</w:t>
      </w:r>
      <w:r>
        <w:t xml:space="preserve"> means any operation or set of operations performed on Personal Data, including collection, recording, organization, structuring, storage, adaptation, retrieval, consultation, use, disclosure, dissemination, restriction, erasure, or destruction.</w:t>
      </w:r>
    </w:p>
    <w:p>
      <w:pPr>
        <w:spacing w:after="120"/>
      </w:pPr>
      <w:r>
        <w:rPr>
          <w:b/>
          <w:bCs/>
        </w:rPr>
        <w:t xml:space="preserve">"Data Subject"</w:t>
      </w:r>
      <w:r>
        <w:t xml:space="preserve"> means the individual to whom Personal Data relates.</w:t>
      </w:r>
    </w:p>
    <w:p>
      <w:pPr>
        <w:spacing w:after="120"/>
      </w:pPr>
      <w:r>
        <w:rPr>
          <w:b/>
          <w:bCs/>
        </w:rPr>
        <w:t xml:space="preserve">"Sub-processor"</w:t>
      </w:r>
      <w:r>
        <w:t xml:space="preserve"> means any third-party data processor engaged by the Processor to process Personal Data on behalf of the Controller.</w:t>
      </w:r>
    </w:p>
    <w:p>
      <w:pPr>
        <w:spacing w:after="480"/>
      </w:pPr>
      <w:r>
        <w:rPr>
          <w:b/>
          <w:bCs/>
        </w:rPr>
        <w:t xml:space="preserve">"Supervisory Authority"</w:t>
      </w:r>
      <w:r>
        <w:t xml:space="preserve"> means an independent public authority responsible for monitoring the application of Data Protection Laws.</w:t>
      </w:r>
    </w:p>
    <w:p>
      <w:pPr>
        <w:pStyle w:val="Heading2"/>
      </w:pPr>
      <w:r>
        <w:t xml:space="preserve">2. SCOPE AND ROLES</w:t>
      </w:r>
    </w:p>
    <w:p>
      <w:pPr>
        <w:pStyle w:val="Heading3"/>
      </w:pPr>
      <w:r>
        <w:t xml:space="preserve">2.1 Scope of Processing</w:t>
      </w:r>
    </w:p>
    <w:p>
      <w:pPr>
        <w:spacing w:after="240"/>
      </w:pPr>
      <w:r>
        <w:t xml:space="preserve">The Processor shall process Personal Data only to the extent necessary to provide the Service in accordance with the Agreement and only in accordance with the Controller's documented instructions. The subject matter, duration, nature, and purpose of the processing, as well as the types of Personal Data and categories of Data Subjects, are specified in Annex A to this DPA.</w:t>
      </w:r>
    </w:p>
    <w:p>
      <w:pPr>
        <w:pStyle w:val="Heading3"/>
      </w:pPr>
      <w:r>
        <w:t xml:space="preserve">2.2 Controller and Processor Roles</w:t>
      </w:r>
    </w:p>
    <w:p>
      <w:pPr>
        <w:spacing w:after="240"/>
      </w:pPr>
      <w:r>
        <w:t xml:space="preserve">The parties acknowledge and agree that with regard to the processing of Personal Data, the Controller is the data controller and the Processor is the data processor as defined under Data Protection Laws.</w:t>
      </w:r>
    </w:p>
    <w:p>
      <w:pPr>
        <w:pStyle w:val="Heading3"/>
      </w:pPr>
      <w:r>
        <w:t xml:space="preserve">2.3 Controller Instructions</w:t>
      </w:r>
    </w:p>
    <w:p>
      <w:pPr>
        <w:spacing w:after="480"/>
      </w:pPr>
      <w:r>
        <w:t xml:space="preserve">The Processor shall process Personal Data only on documented instructions from the Controller, including with regard to transfers of Personal Data to a third country or international organization, unless required to do so by applicable law. In such a case, the Processor shall inform the Controller of that legal requirement before processing, unless prohibited by law on important grounds of public interest.</w:t>
      </w:r>
    </w:p>
    <w:p>
      <w:pPr>
        <w:pStyle w:val="Heading2"/>
      </w:pPr>
      <w:r>
        <w:t xml:space="preserve">3. PROCESSOR OBLIGATIONS</w:t>
      </w:r>
    </w:p>
    <w:p>
      <w:pPr>
        <w:pStyle w:val="Heading3"/>
      </w:pPr>
      <w:r>
        <w:t xml:space="preserve">3.1 Compliance with Data Protection Laws</w:t>
      </w:r>
    </w:p>
    <w:p>
      <w:pPr>
        <w:spacing w:after="240"/>
      </w:pPr>
      <w:r>
        <w:t xml:space="preserve">The Processor shall comply with all applicable Data Protection Laws in its processing of Personal Data under this DPA.</w:t>
      </w:r>
    </w:p>
    <w:p>
      <w:pPr>
        <w:pStyle w:val="Heading3"/>
      </w:pPr>
      <w:r>
        <w:t xml:space="preserve">3.2 Confidentiality</w:t>
      </w:r>
    </w:p>
    <w:p>
      <w:pPr>
        <w:spacing w:after="240"/>
      </w:pPr>
      <w:r>
        <w:t xml:space="preserve">The Processor shall ensure that all persons authorized to process Personal Data have committed themselves to confidentiality or are under an appropriate statutory obligation of confidentiality.</w:t>
      </w:r>
    </w:p>
    <w:p>
      <w:pPr>
        <w:pStyle w:val="Heading3"/>
      </w:pPr>
      <w:r>
        <w:t xml:space="preserve">3.3 Security Measures</w:t>
      </w:r>
    </w:p>
    <w:p>
      <w:pPr>
        <w:spacing w:after="120"/>
      </w:pPr>
      <w:r>
        <w:t xml:space="preserve">Taking into account the state of the art, the costs of implementation, and the nature, scope, context, and purposes of processing, the Processor shall implement appropriate technical and organizational measures to ensure a level of security appropriate to the risk, including:</w:t>
      </w:r>
    </w:p>
    <w:p>
      <w:pPr>
        <w:spacing w:after="60"/>
      </w:pPr>
      <w:r>
        <w:t xml:space="preserve">(a) Pseudonymization and encryption of Personal Data</w:t>
      </w:r>
    </w:p>
    <w:p>
      <w:pPr>
        <w:spacing w:after="60"/>
      </w:pPr>
      <w:r>
        <w:t xml:space="preserve">(b) Ongoing confidentiality, integrity, availability, and resilience of processing systems</w:t>
      </w:r>
    </w:p>
    <w:p>
      <w:pPr>
        <w:spacing w:after="60"/>
      </w:pPr>
      <w:r>
        <w:t xml:space="preserve">(c) Ability to restore availability and access to Personal Data in a timely manner in the event of an incident</w:t>
      </w:r>
    </w:p>
    <w:p>
      <w:pPr>
        <w:spacing w:after="240"/>
      </w:pPr>
      <w:r>
        <w:t xml:space="preserve">(d) Regular testing, assessment, and evaluation of the effectiveness of technical and organizational measures</w:t>
      </w:r>
    </w:p>
    <w:p>
      <w:pPr>
        <w:spacing w:after="240"/>
      </w:pPr>
      <w:r>
        <w:t xml:space="preserve">The security measures are further detailed in Annex B to this DPA.</w:t>
      </w:r>
    </w:p>
    <w:p>
      <w:pPr>
        <w:pStyle w:val="Heading3"/>
      </w:pPr>
      <w:r>
        <w:t xml:space="preserve">3.4 Sub-processing</w:t>
      </w:r>
    </w:p>
    <w:p>
      <w:pPr>
        <w:spacing w:after="120"/>
      </w:pPr>
      <w:r>
        <w:t xml:space="preserve">The Controller provides general authorization for the Processor to engage Sub-processors. The Processor shall:</w:t>
      </w:r>
    </w:p>
    <w:p>
      <w:pPr>
        <w:spacing w:after="60"/>
      </w:pPr>
      <w:r>
        <w:t xml:space="preserve">(a) Maintain a current list of Sub-processors (Annex C)</w:t>
      </w:r>
    </w:p>
    <w:p>
      <w:pPr>
        <w:spacing w:after="60"/>
      </w:pPr>
      <w:r>
        <w:t xml:space="preserve">(b) Provide the Controller with at least 30 days' notice of any intended changes concerning addition or replacement of Sub-processors</w:t>
      </w:r>
    </w:p>
    <w:p>
      <w:pPr>
        <w:spacing w:after="60"/>
      </w:pPr>
      <w:r>
        <w:t xml:space="preserve">(c) Give the Controller the opportunity to object to such changes on reasonable grounds</w:t>
      </w:r>
    </w:p>
    <w:p>
      <w:pPr>
        <w:spacing w:after="60"/>
      </w:pPr>
      <w:r>
        <w:t xml:space="preserve">(d) Impose the same data protection obligations on Sub-processors as set out in this DPA</w:t>
      </w:r>
    </w:p>
    <w:p>
      <w:pPr>
        <w:spacing w:after="240"/>
      </w:pPr>
      <w:r>
        <w:t xml:space="preserve">(e) Remain fully liable to the Controller for the performance of Sub-processors' obligations</w:t>
      </w:r>
    </w:p>
    <w:p>
      <w:pPr>
        <w:pStyle w:val="Heading3"/>
      </w:pPr>
      <w:r>
        <w:t xml:space="preserve">3.5 Data Subject Rights</w:t>
      </w:r>
    </w:p>
    <w:p>
      <w:pPr>
        <w:spacing w:after="120"/>
      </w:pPr>
      <w:r>
        <w:t xml:space="preserve">Taking into account the nature of the processing, the Processor shall assist the Controller by implementing appropriate technical and organizational measures, insofar as this is possible, for the fulfillment of the Controller's obligations to respond to requests for exercising Data Subject rights, including:</w:t>
      </w:r>
    </w:p>
    <w:p>
      <w:pPr>
        <w:spacing w:after="60"/>
      </w:pPr>
      <w:r>
        <w:t xml:space="preserve">• Right of access</w:t>
      </w:r>
    </w:p>
    <w:p>
      <w:pPr>
        <w:spacing w:after="60"/>
      </w:pPr>
      <w:r>
        <w:t xml:space="preserve">• Right to rectification</w:t>
      </w:r>
    </w:p>
    <w:p>
      <w:pPr>
        <w:spacing w:after="60"/>
      </w:pPr>
      <w:r>
        <w:t xml:space="preserve">• Right to erasure (right to be forgotten)</w:t>
      </w:r>
    </w:p>
    <w:p>
      <w:pPr>
        <w:spacing w:after="60"/>
      </w:pPr>
      <w:r>
        <w:t xml:space="preserve">• Right to restriction of processing</w:t>
      </w:r>
    </w:p>
    <w:p>
      <w:pPr>
        <w:spacing w:after="60"/>
      </w:pPr>
      <w:r>
        <w:t xml:space="preserve">• Right to data portability</w:t>
      </w:r>
    </w:p>
    <w:p>
      <w:pPr>
        <w:spacing w:after="240"/>
      </w:pPr>
      <w:r>
        <w:t xml:space="preserve">• Right to object</w:t>
      </w:r>
    </w:p>
    <w:p>
      <w:pPr>
        <w:pStyle w:val="Heading3"/>
      </w:pPr>
      <w:r>
        <w:t xml:space="preserve">3.6 Assistance with Compliance</w:t>
      </w:r>
    </w:p>
    <w:p>
      <w:pPr>
        <w:spacing w:after="120"/>
      </w:pPr>
      <w:r>
        <w:t xml:space="preserve">The Processor shall assist the Controller in ensuring compliance with the Controller's obligations under Data Protection Laws, taking into account the nature of processing and the information available to the Processor, particularly in relation to:</w:t>
      </w:r>
    </w:p>
    <w:p>
      <w:pPr>
        <w:spacing w:after="60"/>
      </w:pPr>
      <w:r>
        <w:t xml:space="preserve">(a) Data protection impact assessments</w:t>
      </w:r>
    </w:p>
    <w:p>
      <w:pPr>
        <w:spacing w:after="60"/>
      </w:pPr>
      <w:r>
        <w:t xml:space="preserve">(b) Prior consultation with Supervisory Authorities</w:t>
      </w:r>
    </w:p>
    <w:p>
      <w:pPr>
        <w:spacing w:after="240"/>
      </w:pPr>
      <w:r>
        <w:t xml:space="preserve">(c) Implementation of security measures</w:t>
      </w:r>
    </w:p>
    <w:p>
      <w:pPr>
        <w:pStyle w:val="Heading3"/>
      </w:pPr>
      <w:r>
        <w:t xml:space="preserve">3.7 Personal Data Breach Notification</w:t>
      </w:r>
    </w:p>
    <w:p>
      <w:pPr>
        <w:spacing w:after="120"/>
      </w:pPr>
      <w:r>
        <w:t xml:space="preserve">The Processor shall notify the Controller without undue delay (and in any event within 48 hours) after becoming aware of a Personal Data breach. The notification shall, at a minimum, contain:</w:t>
      </w:r>
    </w:p>
    <w:p>
      <w:pPr>
        <w:spacing w:after="60"/>
      </w:pPr>
      <w:r>
        <w:t xml:space="preserve">(a) Description of the nature of the breach</w:t>
      </w:r>
    </w:p>
    <w:p>
      <w:pPr>
        <w:spacing w:after="60"/>
      </w:pPr>
      <w:r>
        <w:t xml:space="preserve">(b) Categories and approximate number of Data Subjects and Personal Data records concerned</w:t>
      </w:r>
    </w:p>
    <w:p>
      <w:pPr>
        <w:spacing w:after="60"/>
      </w:pPr>
      <w:r>
        <w:t xml:space="preserve">(c) Likely consequences of the breach</w:t>
      </w:r>
    </w:p>
    <w:p>
      <w:pPr>
        <w:spacing w:after="60"/>
      </w:pPr>
      <w:r>
        <w:t xml:space="preserve">(d) Measures taken or proposed to address the breach and mitigate its effects</w:t>
      </w:r>
    </w:p>
    <w:p>
      <w:pPr>
        <w:spacing w:after="240"/>
      </w:pPr>
      <w:r>
        <w:t xml:space="preserve">(e) Contact details for further information</w:t>
      </w:r>
    </w:p>
    <w:p>
      <w:pPr>
        <w:pStyle w:val="Heading3"/>
      </w:pPr>
      <w:r>
        <w:t xml:space="preserve">3.8 Deletion or Return of Personal Data</w:t>
      </w:r>
    </w:p>
    <w:p>
      <w:pPr>
        <w:spacing w:after="240"/>
      </w:pPr>
      <w:r>
        <w:t xml:space="preserve">Upon termination of the Service or at the Controller's request, the Processor shall, at the Controller's choice, delete or return all Personal Data to the Controller and delete existing copies, unless storage of Personal Data is required by applicable law. The Processor shall certify to the Controller that it has complied with this obligation.</w:t>
      </w:r>
    </w:p>
    <w:p>
      <w:pPr>
        <w:pStyle w:val="Heading3"/>
      </w:pPr>
      <w:r>
        <w:t xml:space="preserve">3.9 Audits and Inspections</w:t>
      </w:r>
    </w:p>
    <w:p>
      <w:pPr>
        <w:spacing w:after="480"/>
      </w:pPr>
      <w:r>
        <w:t xml:space="preserve">The Processor shall make available to the Controller all information necessary to demonstrate compliance with this DPA and allow for and contribute to audits, including inspections, conducted by the Controller or an auditor mandated by the Controller. The Processor shall immediately inform the Controller if, in its opinion, an instruction infringes Data Protection Laws.</w:t>
      </w:r>
    </w:p>
    <w:p>
      <w:r>
        <w:br w:type="page"/>
      </w:r>
    </w:p>
    <w:p>
      <w:pPr>
        <w:pStyle w:val="Heading2"/>
      </w:pPr>
      <w:r>
        <w:t xml:space="preserve">4. INTERNATIONAL DATA TRANSFERS</w:t>
      </w:r>
    </w:p>
    <w:p>
      <w:pPr>
        <w:pStyle w:val="Heading3"/>
      </w:pPr>
      <w:r>
        <w:t xml:space="preserve">4.1 Transfer Mechanisms</w:t>
      </w:r>
    </w:p>
    <w:p>
      <w:pPr>
        <w:spacing w:after="120"/>
      </w:pPr>
      <w:r>
        <w:t xml:space="preserve">If the Processor processes Personal Data in a country outside the European Economic Area (EEA), United Kingdom, or Switzerland that has not been subject to an adequacy decision by the European Commission, the parties shall ensure that appropriate safeguards are in place, including:</w:t>
      </w:r>
    </w:p>
    <w:p>
      <w:pPr>
        <w:spacing w:after="60"/>
      </w:pPr>
      <w:r>
        <w:t xml:space="preserve">(a) Standard Contractual Clauses (SCCs) approved by the European Commission</w:t>
      </w:r>
    </w:p>
    <w:p>
      <w:pPr>
        <w:spacing w:after="60"/>
      </w:pPr>
      <w:r>
        <w:t xml:space="preserve">(b) Binding Corporate Rules (BCRs)</w:t>
      </w:r>
    </w:p>
    <w:p>
      <w:pPr>
        <w:spacing w:after="60"/>
      </w:pPr>
      <w:r>
        <w:t xml:space="preserve">(c) Approved certification mechanisms</w:t>
      </w:r>
    </w:p>
    <w:p>
      <w:pPr>
        <w:spacing w:after="240"/>
      </w:pPr>
      <w:r>
        <w:t xml:space="preserve">(d) Approved codes of conduct</w:t>
      </w:r>
    </w:p>
    <w:p>
      <w:pPr>
        <w:pStyle w:val="Heading3"/>
      </w:pPr>
      <w:r>
        <w:t xml:space="preserve">4.2 Standard Contractual Clauses</w:t>
      </w:r>
    </w:p>
    <w:p>
      <w:pPr>
        <w:spacing w:after="240"/>
      </w:pPr>
      <w:r>
        <w:t xml:space="preserve">Where transfers rely on Standard Contractual Clauses, the parties agree to execute the SCCs as set forth in Annex D. The SCCs shall be deemed incorporated into this DPA and shall take precedence in the event of any conflict with other provisions of this DPA.</w:t>
      </w:r>
    </w:p>
    <w:p>
      <w:pPr>
        <w:pStyle w:val="Heading3"/>
      </w:pPr>
      <w:r>
        <w:t xml:space="preserve">4.3 Transfer Impact Assessment</w:t>
      </w:r>
    </w:p>
    <w:p>
      <w:pPr>
        <w:spacing w:after="480"/>
      </w:pPr>
      <w:r>
        <w:t xml:space="preserve">The Processor warrants that it has conducted a transfer impact assessment and implemented supplementary measures (where necessary) to ensure that the level of protection for transferred Personal Data is essentially equivalent to that guaranteed within the EEA.</w:t>
      </w:r>
    </w:p>
    <w:p>
      <w:pPr>
        <w:pStyle w:val="Heading2"/>
      </w:pPr>
      <w:r>
        <w:t xml:space="preserve">5. LIABILITY AND INDEMNIFICATION</w:t>
      </w:r>
    </w:p>
    <w:p>
      <w:pPr>
        <w:pStyle w:val="Heading3"/>
      </w:pPr>
      <w:r>
        <w:t xml:space="preserve">5.1 Processor Liability</w:t>
      </w:r>
    </w:p>
    <w:p>
      <w:pPr>
        <w:spacing w:after="240"/>
      </w:pPr>
      <w:r>
        <w:t xml:space="preserve">The Processor shall be liable for damages caused by processing where it has not complied with obligations specifically directed to processors under Data Protection Laws or where it has acted outside or contrary to lawful instructions of the Controller.</w:t>
      </w:r>
    </w:p>
    <w:p>
      <w:pPr>
        <w:pStyle w:val="Heading3"/>
      </w:pPr>
      <w:r>
        <w:t xml:space="preserve">5.2 Indemnification</w:t>
      </w:r>
    </w:p>
    <w:p>
      <w:pPr>
        <w:spacing w:after="480"/>
      </w:pPr>
      <w:r>
        <w:t xml:space="preserve">Each party shall indemnify and hold harmless the other party from and against all claims, actions, third-party claims, losses, damages, and expenses (including reasonable attorneys' fees) arising out of or relating to its breach of this DPA.</w:t>
      </w:r>
    </w:p>
    <w:p>
      <w:pPr>
        <w:pStyle w:val="Heading2"/>
      </w:pPr>
      <w:r>
        <w:t xml:space="preserve">6. TERM AND TERMINATION</w:t>
      </w:r>
    </w:p>
    <w:p>
      <w:pPr>
        <w:pStyle w:val="Heading3"/>
      </w:pPr>
      <w:r>
        <w:t xml:space="preserve">6.1 Term</w:t>
      </w:r>
    </w:p>
    <w:p>
      <w:pPr>
        <w:spacing w:after="240"/>
      </w:pPr>
      <w:r>
        <w:t xml:space="preserve">This DPA shall remain in effect for the duration of the Agreement or until all Personal Data has been deleted or returned in accordance with Section 3.8, whichever is later.</w:t>
      </w:r>
    </w:p>
    <w:p>
      <w:pPr>
        <w:pStyle w:val="Heading3"/>
      </w:pPr>
      <w:r>
        <w:t xml:space="preserve">6.2 Termination for Breach</w:t>
      </w:r>
    </w:p>
    <w:p>
      <w:pPr>
        <w:spacing w:after="240"/>
      </w:pPr>
      <w:r>
        <w:t xml:space="preserve">Either party may terminate this DPA with immediate effect if the other party is in material breach of its obligations under this DPA and fails to remedy such breach within 30 days of receiving written notice.</w:t>
      </w:r>
    </w:p>
    <w:p>
      <w:pPr>
        <w:pStyle w:val="Heading3"/>
      </w:pPr>
      <w:r>
        <w:t xml:space="preserve">6.3 Effect of Termination</w:t>
      </w:r>
    </w:p>
    <w:p>
      <w:pPr>
        <w:spacing w:after="480"/>
      </w:pPr>
      <w:r>
        <w:t xml:space="preserve">Upon termination of this DPA, the Processor shall, in accordance with Section 3.8, delete or return all Personal Data and certify such deletion or return to the Controller.</w:t>
      </w:r>
    </w:p>
    <w:p>
      <w:pPr>
        <w:pStyle w:val="Heading2"/>
      </w:pPr>
      <w:r>
        <w:t xml:space="preserve">7. GENERAL PROVISIONS</w:t>
      </w:r>
    </w:p>
    <w:p>
      <w:pPr>
        <w:pStyle w:val="Heading3"/>
      </w:pPr>
      <w:r>
        <w:t xml:space="preserve">7.1 Order of Precedence</w:t>
      </w:r>
    </w:p>
    <w:p>
      <w:pPr>
        <w:spacing w:after="240"/>
      </w:pPr>
      <w:r>
        <w:t xml:space="preserve">In the event of any conflict between this DPA and the Agreement, this DPA shall prevail to the extent of such conflict with regard to the processing of Personal Data.</w:t>
      </w:r>
    </w:p>
    <w:p>
      <w:pPr>
        <w:pStyle w:val="Heading3"/>
      </w:pPr>
      <w:r>
        <w:t xml:space="preserve">7.2 Amendments</w:t>
      </w:r>
    </w:p>
    <w:p>
      <w:pPr>
        <w:spacing w:after="240"/>
      </w:pPr>
      <w:r>
        <w:t xml:space="preserve">This DPA may be amended to comply with changes in Data Protection Laws. The Processor shall provide the Controller with reasonable notice of any such amendments.</w:t>
      </w:r>
    </w:p>
    <w:p>
      <w:pPr>
        <w:pStyle w:val="Heading3"/>
      </w:pPr>
      <w:r>
        <w:t xml:space="preserve">7.3 Severability</w:t>
      </w:r>
    </w:p>
    <w:p>
      <w:pPr>
        <w:spacing w:after="240"/>
      </w:pPr>
      <w:r>
        <w:t xml:space="preserve">If any provision of this DPA is held to be invalid or unenforceable, the remaining provisions shall remain in full force and effect, and the invalid or unenforceable provision shall be replaced with a valid provision that most closely approximates the intent of the original provision.</w:t>
      </w:r>
    </w:p>
    <w:p>
      <w:pPr>
        <w:pStyle w:val="Heading3"/>
      </w:pPr>
      <w:r>
        <w:t xml:space="preserve">7.4 Governing Law</w:t>
      </w:r>
    </w:p>
    <w:p>
      <w:pPr>
        <w:spacing w:after="480"/>
      </w:pPr>
      <w:r>
        <w:t xml:space="preserve">This DPA shall be governed by the same governing law as the Agreement, except where Data Protection Laws require otherwise.</w:t>
      </w:r>
    </w:p>
    <w:p>
      <w:r>
        <w:br w:type="page"/>
      </w:r>
    </w:p>
    <w:p>
      <w:pPr>
        <w:pStyle w:val="Heading2"/>
      </w:pPr>
      <w:r>
        <w:t xml:space="preserve">ANNEX A: DETAILS OF PROCESSING</w:t>
      </w:r>
    </w:p>
    <w:p>
      <w:pPr>
        <w:pStyle w:val="Heading3"/>
      </w:pPr>
      <w:r>
        <w:t xml:space="preserve">A.1 Subject Matter and Duration</w:t>
      </w:r>
    </w:p>
    <w:p>
      <w:pPr>
        <w:spacing w:after="120"/>
      </w:pPr>
      <w:r>
        <w:rPr>
          <w:b/>
          <w:bCs/>
        </w:rPr>
        <w:t xml:space="preserve">Subject Matter:</w:t>
      </w:r>
      <w:r>
        <w:t xml:space="preserve"> Provision of cloud-based software-as-a-service platform</w:t>
      </w:r>
    </w:p>
    <w:p>
      <w:pPr>
        <w:spacing w:after="240"/>
      </w:pPr>
      <w:r>
        <w:rPr>
          <w:b/>
          <w:bCs/>
        </w:rPr>
        <w:t xml:space="preserve">Duration:</w:t>
      </w:r>
      <w:r>
        <w:t xml:space="preserve"> For the term of the Agreement and during any applicable retention period</w:t>
      </w:r>
    </w:p>
    <w:p>
      <w:pPr>
        <w:pStyle w:val="Heading3"/>
      </w:pPr>
      <w:r>
        <w:t xml:space="preserve">A.2 Nature and Purpose of Processing</w:t>
      </w:r>
    </w:p>
    <w:p>
      <w:pPr>
        <w:spacing w:after="120"/>
      </w:pPr>
      <w:r>
        <w:rPr>
          <w:b/>
          <w:bCs/>
        </w:rPr>
        <w:t xml:space="preserve">Nature:</w:t>
      </w:r>
      <w:r>
        <w:t xml:space="preserve"> Collection, recording, organization, structuring, storage, adaptation, retrieval, consultation, use, disclosure by transmission, dissemination, restriction, erasure, and destruction of Personal Data</w:t>
      </w:r>
    </w:p>
    <w:p>
      <w:pPr>
        <w:spacing w:after="240"/>
      </w:pPr>
      <w:r>
        <w:rPr>
          <w:b/>
          <w:bCs/>
        </w:rPr>
        <w:t xml:space="preserve">Purpose:</w:t>
      </w:r>
      <w:r>
        <w:t xml:space="preserve"> To provide the Service as described in the Agreement, including account management, service delivery, technical support, and service improvement</w:t>
      </w:r>
    </w:p>
    <w:p>
      <w:pPr>
        <w:pStyle w:val="Heading3"/>
      </w:pPr>
      <w:r>
        <w:t xml:space="preserve">A.3 Types of Personal Data</w:t>
      </w:r>
    </w:p>
    <w:p>
      <w:pPr>
        <w:spacing w:after="120"/>
      </w:pPr>
      <w:r>
        <w:t xml:space="preserve">The Personal Data processed may include:</w:t>
      </w:r>
    </w:p>
    <w:p>
      <w:pPr>
        <w:spacing w:after="60"/>
      </w:pPr>
      <w:r>
        <w:t xml:space="preserve">• Contact information (name, email address, phone number)</w:t>
      </w:r>
    </w:p>
    <w:p>
      <w:pPr>
        <w:spacing w:after="60"/>
      </w:pPr>
      <w:r>
        <w:t xml:space="preserve">• Account credentials (username, password)</w:t>
      </w:r>
    </w:p>
    <w:p>
      <w:pPr>
        <w:spacing w:after="60"/>
      </w:pPr>
      <w:r>
        <w:t xml:space="preserve">• Professional information (job title, company name)</w:t>
      </w:r>
    </w:p>
    <w:p>
      <w:pPr>
        <w:spacing w:after="60"/>
      </w:pPr>
      <w:r>
        <w:t xml:space="preserve">• Billing information (payment details, transaction history)</w:t>
      </w:r>
    </w:p>
    <w:p>
      <w:pPr>
        <w:spacing w:after="60"/>
      </w:pPr>
      <w:r>
        <w:t xml:space="preserve">• Usage data (IP address, browser type, pages visited, features used)</w:t>
      </w:r>
    </w:p>
    <w:p>
      <w:pPr>
        <w:spacing w:after="240"/>
      </w:pPr>
      <w:r>
        <w:t xml:space="preserve">• Customer-uploaded content and data</w:t>
      </w:r>
    </w:p>
    <w:p>
      <w:pPr>
        <w:pStyle w:val="Heading3"/>
      </w:pPr>
      <w:r>
        <w:t xml:space="preserve">A.4 Categories of Data Subjects</w:t>
      </w:r>
    </w:p>
    <w:p>
      <w:pPr>
        <w:spacing w:after="120"/>
      </w:pPr>
      <w:r>
        <w:t xml:space="preserve">Personal Data may relate to the following categories of Data Subjects:</w:t>
      </w:r>
    </w:p>
    <w:p>
      <w:pPr>
        <w:spacing w:after="60"/>
      </w:pPr>
      <w:r>
        <w:t xml:space="preserve">• Controller's employees and contractors</w:t>
      </w:r>
    </w:p>
    <w:p>
      <w:pPr>
        <w:spacing w:after="60"/>
      </w:pPr>
      <w:r>
        <w:t xml:space="preserve">• Controller's customers and prospects</w:t>
      </w:r>
    </w:p>
    <w:p>
      <w:pPr>
        <w:spacing w:after="60"/>
      </w:pPr>
      <w:r>
        <w:t xml:space="preserve">• Controller's business partners</w:t>
      </w:r>
    </w:p>
    <w:p>
      <w:pPr>
        <w:spacing w:after="480"/>
      </w:pPr>
      <w:r>
        <w:t xml:space="preserve">• End users of the Controller's services</w:t>
      </w:r>
    </w:p>
    <w:p>
      <w:pPr>
        <w:pStyle w:val="Heading2"/>
      </w:pPr>
      <w:r>
        <w:t xml:space="preserve">ANNEX B: TECHNICAL AND ORGANIZATIONAL MEASURES</w:t>
      </w:r>
    </w:p>
    <w:p>
      <w:pPr>
        <w:spacing w:after="240"/>
      </w:pPr>
      <w:r>
        <w:t xml:space="preserve">The Processor implements the following technical and organizational security measures:</w:t>
      </w:r>
    </w:p>
    <w:p>
      <w:pPr>
        <w:pStyle w:val="Heading3"/>
      </w:pPr>
      <w:r>
        <w:t xml:space="preserve">B.1 Physical Security</w:t>
      </w:r>
    </w:p>
    <w:p>
      <w:pPr>
        <w:spacing w:after="60"/>
      </w:pPr>
      <w:r>
        <w:t xml:space="preserve">• Data centers with 24/7 security monitoring</w:t>
      </w:r>
    </w:p>
    <w:p>
      <w:pPr>
        <w:spacing w:after="60"/>
      </w:pPr>
      <w:r>
        <w:t xml:space="preserve">• Biometric access controls and visitor logging</w:t>
      </w:r>
    </w:p>
    <w:p>
      <w:pPr>
        <w:spacing w:after="240"/>
      </w:pPr>
      <w:r>
        <w:t xml:space="preserve">• Environmental controls (fire suppression, climate control)</w:t>
      </w:r>
    </w:p>
    <w:p>
      <w:pPr>
        <w:pStyle w:val="Heading3"/>
      </w:pPr>
      <w:r>
        <w:t xml:space="preserve">B.2 Technical Security</w:t>
      </w:r>
    </w:p>
    <w:p>
      <w:pPr>
        <w:spacing w:after="60"/>
      </w:pPr>
      <w:r>
        <w:t xml:space="preserve">• Encryption of data in transit (TLS 1.2 or higher)</w:t>
      </w:r>
    </w:p>
    <w:p>
      <w:pPr>
        <w:spacing w:after="60"/>
      </w:pPr>
      <w:r>
        <w:t xml:space="preserve">• Encryption of data at rest (AES-256)</w:t>
      </w:r>
    </w:p>
    <w:p>
      <w:pPr>
        <w:spacing w:after="60"/>
      </w:pPr>
      <w:r>
        <w:t xml:space="preserve">• Multi-factor authentication for administrative access</w:t>
      </w:r>
    </w:p>
    <w:p>
      <w:pPr>
        <w:spacing w:after="60"/>
      </w:pPr>
      <w:r>
        <w:t xml:space="preserve">• Regular security vulnerability scanning and penetration testing</w:t>
      </w:r>
    </w:p>
    <w:p>
      <w:pPr>
        <w:spacing w:after="60"/>
      </w:pPr>
      <w:r>
        <w:t xml:space="preserve">• Intrusion detection and prevention systems</w:t>
      </w:r>
    </w:p>
    <w:p>
      <w:pPr>
        <w:spacing w:after="240"/>
      </w:pPr>
      <w:r>
        <w:t xml:space="preserve">• Automated backup and disaster recovery procedures</w:t>
      </w:r>
    </w:p>
    <w:p>
      <w:pPr>
        <w:pStyle w:val="Heading3"/>
      </w:pPr>
      <w:r>
        <w:t xml:space="preserve">B.3 Organizational Security</w:t>
      </w:r>
    </w:p>
    <w:p>
      <w:pPr>
        <w:spacing w:after="60"/>
      </w:pPr>
      <w:r>
        <w:t xml:space="preserve">• Background checks for employees with access to Personal Data</w:t>
      </w:r>
    </w:p>
    <w:p>
      <w:pPr>
        <w:spacing w:after="60"/>
      </w:pPr>
      <w:r>
        <w:t xml:space="preserve">• Mandatory data protection and security training</w:t>
      </w:r>
    </w:p>
    <w:p>
      <w:pPr>
        <w:spacing w:after="60"/>
      </w:pPr>
      <w:r>
        <w:t xml:space="preserve">• Confidentiality agreements with all personnel</w:t>
      </w:r>
    </w:p>
    <w:p>
      <w:pPr>
        <w:spacing w:after="60"/>
      </w:pPr>
      <w:r>
        <w:t xml:space="preserve">• Role-based access controls with least privilege principle</w:t>
      </w:r>
    </w:p>
    <w:p>
      <w:pPr>
        <w:spacing w:after="60"/>
      </w:pPr>
      <w:r>
        <w:t xml:space="preserve">• Incident response plan and security breach procedures</w:t>
      </w:r>
    </w:p>
    <w:p>
      <w:pPr>
        <w:spacing w:after="480"/>
      </w:pPr>
      <w:r>
        <w:t xml:space="preserve">• Regular review and update of security measures</w:t>
      </w:r>
    </w:p>
    <w:p>
      <w:pPr>
        <w:pStyle w:val="Heading2"/>
      </w:pPr>
      <w:r>
        <w:t xml:space="preserve">ANNEX C: LIST OF SUB-PROCESSORS</w:t>
      </w:r>
    </w:p>
    <w:p>
      <w:pPr>
        <w:spacing w:after="240"/>
      </w:pPr>
      <w:r>
        <w:t xml:space="preserve">The Controller authorizes the use of the following Sub-processors:</w:t>
      </w:r>
    </w:p>
    <w:p>
      <w:pPr>
        <w:spacing w:after="120"/>
      </w:pPr>
      <w:r>
        <w:rPr>
          <w:i/>
          <w:iCs/>
        </w:rPr>
        <w:t xml:space="preserve">[TO BE COMPLETED WITH SPECIFIC SUB-PROCESSORS]</w:t>
      </w:r>
    </w:p>
    <w:p>
      <w:pPr>
        <w:spacing w:after="120"/>
      </w:pPr>
      <w:r>
        <w:t xml:space="preserve">Example entries:</w:t>
      </w:r>
    </w:p>
    <w:p>
      <w:pPr>
        <w:spacing w:after="60"/>
      </w:pPr>
      <w:r>
        <w:t xml:space="preserve">• Amazon Web Services (AWS) - Cloud hosting and infrastructure</w:t>
      </w:r>
    </w:p>
    <w:p>
      <w:pPr>
        <w:spacing w:after="60"/>
      </w:pPr>
      <w:r>
        <w:t xml:space="preserve">• [Payment Processor] - Payment processing services</w:t>
      </w:r>
    </w:p>
    <w:p>
      <w:pPr>
        <w:spacing w:after="60"/>
      </w:pPr>
      <w:r>
        <w:t xml:space="preserve">• [Email Service] - Transactional email delivery</w:t>
      </w:r>
    </w:p>
    <w:p>
      <w:pPr>
        <w:spacing w:after="480"/>
      </w:pPr>
      <w:r>
        <w:t xml:space="preserve">• [Analytics Provider] - Usage analytics and monitoring</w:t>
      </w:r>
    </w:p>
    <w:p>
      <w:pPr>
        <w:spacing w:after="480"/>
      </w:pPr>
      <w:r>
        <w:t xml:space="preserve">An up-to-date list of Sub-processors is available at: [URL]</w:t>
      </w:r>
    </w:p>
    <w:p>
      <w:pPr>
        <w:pStyle w:val="Heading2"/>
      </w:pPr>
      <w:r>
        <w:t xml:space="preserve">ANNEX D: STANDARD CONTRACTUAL CLAUSES</w:t>
      </w:r>
    </w:p>
    <w:p>
      <w:pPr>
        <w:spacing w:after="240"/>
      </w:pPr>
      <w:r>
        <w:t xml:space="preserve">Where applicable, the parties agree to execute the Standard Contractual Clauses for the transfer of personal data to processors established in third countries which do not ensure an adequate level of data protection, as adopted by the European Commission.</w:t>
      </w:r>
    </w:p>
    <w:p>
      <w:pPr>
        <w:spacing w:after="120"/>
      </w:pPr>
      <w:r>
        <w:t xml:space="preserve">The SCCs are incorporated by reference and can be accessed at:</w:t>
      </w:r>
    </w:p>
    <w:p>
      <w:pPr>
        <w:spacing w:after="480"/>
      </w:pPr>
      <w:r>
        <w:t xml:space="preserve">https://eur-lex.europa.eu/eli/dec_impl/2021/914/oj</w:t>
      </w:r>
    </w:p>
    <w:p>
      <w:pPr>
        <w:spacing w:before="480"/>
        <w:jc w:val="center"/>
      </w:pPr>
      <w:r>
        <w:rPr>
          <w:b/>
          <w:bCs/>
          <w:sz w:val="20"/>
          <w:szCs w:val="20"/>
        </w:rPr>
        <w:t xml:space="preserve">END OF DATA PROCESSING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2026-01-09T17:00:49.623Z</dcterms:created>
  <dcterms:modified xsi:type="dcterms:W3CDTF">2026-01-09T17:00:49.624Z</dcterms:modified>
</cp:coreProperties>
</file>

<file path=docProps/custom.xml><?xml version="1.0" encoding="utf-8"?>
<Properties xmlns="http://schemas.openxmlformats.org/officeDocument/2006/custom-properties" xmlns:vt="http://schemas.openxmlformats.org/officeDocument/2006/docPropsVTypes"/>
</file>