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3B82F6"/>
          <w:sz w:val="48"/>
          <w:szCs w:val="48"/>
        </w:rPr>
        <w:t xml:space="preserve">Q</w:t>
      </w:r>
      <w:r>
        <w:rPr>
          <w:rFonts w:ascii="Arial" w:cs="Arial" w:eastAsia="Arial" w:hAnsi="Arial"/>
          <w:b/>
          <w:bCs/>
          <w:color w:val="0F1B2D"/>
          <w:sz w:val="48"/>
          <w:szCs w:val="48"/>
        </w:rPr>
        <w:t xml:space="preserve">vault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Enterprise Services Quote</w:t>
      </w:r>
    </w:p>
    <w:p>
      <w:pPr>
        <w:spacing w:after="300"/>
        <w:jc w:val="center"/>
      </w:pPr>
      <w:r>
        <w:rPr>
          <w:rFonts w:ascii="Arial" w:cs="Arial" w:eastAsia="Arial" w:hAnsi="Arial"/>
          <w:color w:val="3B82F6"/>
          <w:sz w:val="22"/>
          <w:szCs w:val="22"/>
        </w:rPr>
        <w:t xml:space="preserve">Private LLM Deployment &amp; Pipeline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Quote 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QV-ENT-______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____/____/________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Valid Until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____/____/________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</w:p>
    <w:p>
      <w:pPr>
        <w:pBdr>
          <w:bottom w:val="single" w:color="3B82F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Client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Contact Person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Title /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Address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VAT / Tax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</w:p>
    <w:p>
      <w:pPr>
        <w:pBdr>
          <w:bottom w:val="single" w:color="3B82F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Scope of Work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The following services are included in this proposal (check all that apply):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60"/>
        <w:gridCol w:w="5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Private LLM Setup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Deploy and configure private LLM (Llama, Mistral, or other) on client infrastructure with optimized inference pipeline.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MCP Pipeline Integration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Integrate Qvault into existing document workflow via Model Context Protocol for automated PII scanning and redaction.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Custom Pattern Libraries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Develop jurisdiction-specific and practice-area PII detection patterns beyond built-in global/US/EU/BR/DE coverage.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On-Premise Deployment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Full Qvault deployment on client servers or private cloud with zero external data transmission.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Training &amp; Onboarding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User training sessions, admin documentation, and guided onboarding for the legal/compliance team.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Dedicated Support &amp; SLA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Priority support channel with guaranteed response times and uptime commitments.</w:t>
            </w:r>
          </w:p>
        </w:tc>
      </w:tr>
    </w:tbl>
    <w:p>
      <w:r>
        <w:br w:type="page"/>
      </w:r>
    </w:p>
    <w:p>
      <w:pPr>
        <w:pBdr>
          <w:bottom w:val="single" w:color="3B82F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1000"/>
        <w:gridCol w:w="140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</w:p>
    <w:tbl>
      <w:tblPr>
        <w:tblW w:type="dxa" w:w="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VAT / Tax (____%)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300"/>
      </w:pPr>
    </w:p>
    <w:p>
      <w:pPr>
        <w:pBdr>
          <w:bottom w:val="single" w:color="3B82F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Payment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Bank transfer / Wire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Currency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Payment Schedule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50% upon signing, 50% upon deployment completion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Net 30 days from invoice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Bank Details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 be provided upon acceptance</w:t>
            </w:r>
          </w:p>
        </w:tc>
      </w:tr>
    </w:tbl>
    <w:p>
      <w:pPr>
        <w:spacing w:after="0" w:before="300"/>
      </w:pPr>
    </w:p>
    <w:p>
      <w:pPr>
        <w:pBdr>
          <w:bottom w:val="single" w:color="3B82F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60"/>
        <w:gridCol w:w="320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Discovery &amp; Planning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Requirements review, architecture design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Infrastructure Setup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deployment, Qvault installation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Integration &amp; Customization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Pipeline integration, custom patterns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5–6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Testing &amp; 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UAT, accuracy benchmarks, compliance 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7–8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Go-Live &amp; Training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 deployment, team training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9–10</w:t>
            </w:r>
          </w:p>
        </w:tc>
      </w:tr>
    </w:tbl>
    <w:p>
      <w:r>
        <w:br w:type="page"/>
      </w:r>
    </w:p>
    <w:p>
      <w:pPr>
        <w:pBdr>
          <w:bottom w:val="single" w:color="3B82F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Terms &amp; Conditions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Confidentiality.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Both parties agree to maintain confidentiality of all proprietary information exchanged during the engagement.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Data Sovereignty.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All client data remains on client infrastructure at all times. Santacroce SL will not retain, transmit, or access client data beyond the scope of deployment and configuration.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Intellectual Property.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Custom pattern libraries and configurations developed for the client are owned by the client. Qvault core software remains under MIT License.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Warranty.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Santacroce SL warrants that deployed systems will perform as specified for 90 days following go-live. Defects will be remediated at no additional cost.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Cancellation.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Either party may cancel with 30 days written notice. Client is responsible for payment of work completed prior to cancellation.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Governing Law.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This agreement shall be governed by the laws of Spain. Disputes shall be resolved through arbitration in Madrid.</w:t>
      </w:r>
    </w:p>
    <w:p>
      <w:pPr>
        <w:spacing w:after="0" w:before="400"/>
      </w:pPr>
    </w:p>
    <w:p>
      <w:pPr>
        <w:pBdr>
          <w:bottom w:val="single" w:color="3B82F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Acceptance &amp; Signatures</w:t>
      </w:r>
    </w:p>
    <w:p>
      <w:pPr>
        <w:spacing w:after="3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By signing below, both parties agree to the terms, scope, and pricing outlined in this quote.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none" w:sz="0"/>
              <w:left w:val="none" w:sz="0"/>
              <w:bottom w:val="none" w:sz="0"/>
              <w:right w:val="none" w:sz="0"/>
            </w:tcBorders>
            <w:shd w:fill="0F1B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Santacroce SL (Provider)</w:t>
            </w:r>
          </w:p>
        </w:tc>
        <w:tc>
          <w:tcPr>
            <w:tcW w:type="dxa" w:w="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none" w:sz="0"/>
              <w:left w:val="none" w:sz="0"/>
              <w:bottom w:val="none" w:sz="0"/>
              <w:right w:val="none" w:sz="0"/>
            </w:tcBorders>
            <w:shd w:fill="0F1B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</w:tr>
      <w:tr>
        <w:trPr>
          <w:trHeight w:val="1600" w:hRule="atLeast"/>
        </w:trPr>
        <w:tc>
          <w:tcPr>
            <w:tcW w:type="dxa" w:w="45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100"/>
              <w:right w:type="dxa" w:w="160"/>
            </w:tcMar>
          </w:tcPr>
          <w:p>
            <w:pPr>
              <w:spacing w:after="600"/>
            </w:pPr>
          </w:p>
          <w:p>
            <w:pPr>
              <w:pBdr>
                <w:bottom w:val="single" w:color="0F1B2D" w:sz="2" w:space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Signature</w:t>
            </w:r>
          </w:p>
          <w:p>
            <w:pPr>
              <w:spacing w:after="0" w:before="80"/>
            </w:pPr>
          </w:p>
          <w:p>
            <w:pPr>
              <w:pBdr>
                <w:bottom w:val="single" w:color="0F1B2D" w:sz="2" w:space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Name &amp; Title</w:t>
            </w:r>
          </w:p>
          <w:p>
            <w:pPr>
              <w:spacing w:after="0" w:before="80"/>
            </w:pPr>
          </w:p>
          <w:p>
            <w:pPr>
              <w:pBdr>
                <w:bottom w:val="single" w:color="0F1B2D" w:sz="2" w:space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Date</w:t>
            </w:r>
          </w:p>
        </w:tc>
        <w:tc>
          <w:tcPr>
            <w:tcW w:type="dxa" w:w="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100"/>
              <w:right w:type="dxa" w:w="160"/>
            </w:tcMar>
          </w:tcPr>
          <w:p>
            <w:pPr>
              <w:spacing w:after="600"/>
            </w:pPr>
          </w:p>
          <w:p>
            <w:pPr>
              <w:pBdr>
                <w:bottom w:val="single" w:color="0F1B2D" w:sz="2" w:space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Signature</w:t>
            </w:r>
          </w:p>
          <w:p>
            <w:pPr>
              <w:spacing w:after="0" w:before="80"/>
            </w:pPr>
          </w:p>
          <w:p>
            <w:pPr>
              <w:pBdr>
                <w:bottom w:val="single" w:color="0F1B2D" w:sz="2" w:space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Name &amp; Title</w:t>
            </w:r>
          </w:p>
          <w:p>
            <w:pPr>
              <w:spacing w:after="0" w:before="80"/>
            </w:pPr>
          </w:p>
          <w:p>
            <w:pPr>
              <w:pBdr>
                <w:bottom w:val="single" w:color="0F1B2D" w:sz="2" w:space="2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Date</w:t>
            </w:r>
          </w:p>
        </w:tc>
      </w:tr>
    </w:tbl>
    <w:p>
      <w:pPr>
        <w:spacing w:after="0" w:before="3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Santacroce SL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info@santacroce.es  |  santacroce.es  |  cal.com/santacroce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Santacroce SL  |  info@santacroce.es  |  santacroce.es  |  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3B82F6"/>
        <w:sz w:val="22"/>
        <w:szCs w:val="22"/>
      </w:rPr>
      <w:t xml:space="preserve">Q</w:t>
    </w:r>
    <w:r>
      <w:rPr>
        <w:rFonts w:ascii="Arial" w:cs="Arial" w:eastAsia="Arial" w:hAnsi="Arial"/>
        <w:b/>
        <w:bCs/>
        <w:color w:val="0F1B2D"/>
        <w:sz w:val="22"/>
        <w:szCs w:val="22"/>
      </w:rPr>
      <w:t xml:space="preserve">vault</w:t>
    </w:r>
    <w:r>
      <w:rPr>
        <w:rFonts w:ascii="Arial" w:cs="Arial" w:eastAsia="Arial" w:hAnsi="Arial"/>
        <w:color w:val="6B7280"/>
        <w:sz w:val="18"/>
        <w:szCs w:val="18"/>
      </w:rPr>
      <w:t xml:space="preserve">  |  Enterprise Quote</w:t>
    </w:r>
    <w:r>
      <w:rPr>
        <w:rFonts w:ascii="Arial" w:cs="Arial" w:eastAsia="Arial" w:hAnsi="Arial"/>
        <w:color w:val="6B7280"/>
        <w:sz w:val="18"/>
        <w:szCs w:val="18"/>
      </w:rPr>
      <w:t xml:space="preserve">	Santacroce SL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2026-03-26T16:53:40.914Z</dcterms:created>
  <dcterms:modified xsi:type="dcterms:W3CDTF">2026-03-26T16:53:40.914Z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