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cs="宋体"/>
        </w:rPr>
      </w:pPr>
    </w:p>
    <w:p>
      <w:pPr>
        <w:wordWrap w:val="0"/>
        <w:jc w:val="right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黑体" w:hAnsi="黑体" w:eastAsia="黑体" w:cs="黑体"/>
          <w:sz w:val="56"/>
          <w:szCs w:val="56"/>
        </w:rPr>
      </w:pPr>
    </w:p>
    <w:p>
      <w:pPr>
        <w:jc w:val="center"/>
        <w:rPr>
          <w:rFonts w:ascii="黑体" w:hAnsi="黑体" w:eastAsia="黑体" w:cs="黑体"/>
          <w:sz w:val="56"/>
          <w:szCs w:val="56"/>
        </w:rPr>
      </w:pPr>
    </w:p>
    <w:p>
      <w:pPr>
        <w:jc w:val="center"/>
        <w:rPr>
          <w:rFonts w:ascii="黑体" w:hAnsi="黑体" w:eastAsia="黑体" w:cs="黑体"/>
          <w:sz w:val="56"/>
          <w:szCs w:val="56"/>
        </w:rPr>
      </w:pPr>
    </w:p>
    <w:p>
      <w:pPr>
        <w:jc w:val="center"/>
        <w:rPr>
          <w:rFonts w:ascii="黑体" w:hAnsi="黑体" w:eastAsia="黑体" w:cs="黑体"/>
          <w:b/>
          <w:bCs/>
          <w:sz w:val="56"/>
          <w:szCs w:val="56"/>
        </w:rPr>
      </w:pPr>
      <w:r>
        <w:rPr>
          <w:rFonts w:hint="eastAsia" w:ascii="黑体" w:hAnsi="黑体" w:eastAsia="黑体" w:cs="黑体"/>
          <w:b/>
          <w:bCs/>
          <w:sz w:val="56"/>
          <w:szCs w:val="56"/>
        </w:rPr>
        <w:t>骨科手术导航定位系统</w:t>
      </w:r>
    </w:p>
    <w:p>
      <w:pPr>
        <w:jc w:val="center"/>
        <w:rPr>
          <w:rFonts w:ascii="黑体" w:hAnsi="黑体" w:eastAsia="黑体" w:cs="黑体"/>
          <w:b/>
          <w:bCs/>
          <w:sz w:val="56"/>
          <w:szCs w:val="56"/>
        </w:rPr>
      </w:pPr>
      <w:r>
        <w:rPr>
          <w:rFonts w:hint="eastAsia" w:ascii="黑体" w:hAnsi="黑体" w:eastAsia="黑体" w:cs="黑体"/>
          <w:b/>
          <w:bCs/>
          <w:sz w:val="56"/>
          <w:szCs w:val="56"/>
        </w:rPr>
        <w:t>技术可行性分析报告</w:t>
      </w: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spacing w:before="156" w:after="156" w:line="600" w:lineRule="auto"/>
        <w:ind w:firstLine="2400" w:firstLineChars="10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编制/日期：</w:t>
      </w:r>
      <w:r>
        <w:rPr>
          <w:rFonts w:hint="eastAsia" w:ascii="宋体" w:hAnsi="宋体" w:cs="宋体"/>
          <w:sz w:val="24"/>
          <w:u w:val="single"/>
        </w:rPr>
        <w:t xml:space="preserve">                   </w:t>
      </w:r>
    </w:p>
    <w:p>
      <w:pPr>
        <w:spacing w:before="156" w:after="156" w:line="600" w:lineRule="auto"/>
        <w:ind w:firstLine="2400" w:firstLineChars="10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审核/日期：</w:t>
      </w:r>
      <w:r>
        <w:rPr>
          <w:rFonts w:hint="eastAsia" w:ascii="宋体" w:hAnsi="宋体" w:cs="宋体"/>
          <w:sz w:val="24"/>
          <w:u w:val="single"/>
        </w:rPr>
        <w:t xml:space="preserve">                   </w:t>
      </w:r>
    </w:p>
    <w:p>
      <w:pPr>
        <w:spacing w:before="156" w:after="156" w:line="600" w:lineRule="auto"/>
        <w:ind w:firstLine="2400" w:firstLineChars="10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批准/日期：</w:t>
      </w:r>
      <w:r>
        <w:rPr>
          <w:rFonts w:hint="eastAsia" w:ascii="宋体" w:hAnsi="宋体" w:cs="宋体"/>
          <w:sz w:val="24"/>
          <w:u w:val="single"/>
        </w:rPr>
        <w:t xml:space="preserve">                   </w:t>
      </w: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Cs/>
          <w:szCs w:val="21"/>
        </w:rPr>
        <w:t>杭州三坛医疗科技有限公司</w:t>
      </w:r>
    </w:p>
    <w:p>
      <w:pPr>
        <w:jc w:val="center"/>
        <w:rPr>
          <w:rFonts w:ascii="宋体" w:hAnsi="宋体" w:cs="宋体"/>
          <w:sz w:val="28"/>
          <w:szCs w:val="28"/>
        </w:rPr>
      </w:pPr>
    </w:p>
    <w:sdt>
      <w:sdtPr>
        <w:rPr>
          <w:rFonts w:ascii="宋体" w:hAnsi="宋体"/>
        </w:rPr>
        <w:id w:val="14745474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cs="宋体"/>
          <w:szCs w:val="40"/>
        </w:rPr>
      </w:sdtEndPr>
      <w:sdtContent>
        <w:p>
          <w:pPr>
            <w:spacing w:line="240" w:lineRule="auto"/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宋体" w:hAnsi="宋体" w:cs="宋体"/>
              <w:sz w:val="32"/>
              <w:szCs w:val="40"/>
            </w:rPr>
            <w:fldChar w:fldCharType="begin"/>
          </w:r>
          <w:r>
            <w:rPr>
              <w:rFonts w:hint="eastAsia" w:ascii="宋体" w:hAnsi="宋体" w:cs="宋体"/>
              <w:sz w:val="32"/>
              <w:szCs w:val="40"/>
            </w:rPr>
            <w:instrText xml:space="preserve">TOC \o "1-3" \h \u </w:instrText>
          </w:r>
          <w:r>
            <w:rPr>
              <w:rFonts w:hint="eastAsia" w:ascii="宋体" w:hAnsi="宋体" w:cs="宋体"/>
              <w:sz w:val="32"/>
              <w:szCs w:val="40"/>
            </w:rPr>
            <w:fldChar w:fldCharType="separate"/>
          </w: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_Toc32689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 </w:t>
          </w:r>
          <w:r>
            <w:rPr>
              <w:rFonts w:hint="eastAsia"/>
            </w:rPr>
            <w:t>产品概述</w:t>
          </w:r>
          <w:r>
            <w:tab/>
          </w:r>
          <w:r>
            <w:fldChar w:fldCharType="begin"/>
          </w:r>
          <w:r>
            <w:instrText xml:space="preserve"> PAGEREF _Toc32689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_Toc14920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1.1. </w:t>
          </w:r>
          <w:r>
            <w:rPr>
              <w:rFonts w:hint="eastAsia"/>
            </w:rPr>
            <w:t>产品组成</w:t>
          </w:r>
          <w:r>
            <w:tab/>
          </w:r>
          <w:r>
            <w:fldChar w:fldCharType="begin"/>
          </w:r>
          <w:r>
            <w:instrText xml:space="preserve"> PAGEREF _Toc14920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_Toc11912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1.2. </w:t>
          </w:r>
          <w:r>
            <w:rPr>
              <w:rFonts w:hint="eastAsia"/>
            </w:rPr>
            <w:t>整体实现过程</w:t>
          </w:r>
          <w:r>
            <w:tab/>
          </w:r>
          <w:r>
            <w:fldChar w:fldCharType="begin"/>
          </w:r>
          <w:r>
            <w:instrText xml:space="preserve"> PAGEREF _Toc11912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_Toc26153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1.2.1. </w:t>
          </w:r>
          <w:r>
            <w:rPr>
              <w:rFonts w:hint="eastAsia"/>
            </w:rPr>
            <w:t>CT-X片配准</w:t>
          </w:r>
          <w:r>
            <w:rPr>
              <w:rFonts w:hint="eastAsia"/>
              <w:szCs w:val="32"/>
            </w:rPr>
            <w:t>流程</w:t>
          </w:r>
          <w:r>
            <w:tab/>
          </w:r>
          <w:r>
            <w:fldChar w:fldCharType="begin"/>
          </w:r>
          <w:r>
            <w:instrText xml:space="preserve"> PAGEREF _Toc26153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_Toc16600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1.2.2. </w:t>
          </w:r>
          <w:r>
            <w:rPr>
              <w:rFonts w:hint="eastAsia"/>
            </w:rPr>
            <w:t>纯</w:t>
          </w:r>
          <w:r>
            <w:t>二</w:t>
          </w:r>
          <w:r>
            <w:rPr>
              <w:rFonts w:hint="eastAsia"/>
            </w:rPr>
            <w:t>维</w:t>
          </w:r>
          <w:r>
            <w:t>图像</w:t>
          </w:r>
          <w:r>
            <w:rPr>
              <w:rFonts w:hint="eastAsia"/>
            </w:rPr>
            <w:t>配准流程</w:t>
          </w:r>
          <w:r>
            <w:tab/>
          </w:r>
          <w:r>
            <w:fldChar w:fldCharType="begin"/>
          </w:r>
          <w:r>
            <w:instrText xml:space="preserve"> PAGEREF _Toc16600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_Toc12297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default" w:ascii="宋体" w:hAnsi="宋体" w:eastAsia="宋体" w:cs="宋体"/>
              <w:kern w:val="2"/>
            </w:rPr>
            <w:t xml:space="preserve">2. </w:t>
          </w:r>
          <w:r>
            <w:rPr>
              <w:rFonts w:hint="eastAsia"/>
              <w:kern w:val="2"/>
            </w:rPr>
            <w:t>产品设计目标</w:t>
          </w:r>
          <w:r>
            <w:tab/>
          </w:r>
          <w:r>
            <w:fldChar w:fldCharType="begin"/>
          </w:r>
          <w:r>
            <w:instrText xml:space="preserve"> PAGEREF _Toc12297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_Toc6375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2.1. </w:t>
          </w:r>
          <w:r>
            <w:rPr>
              <w:rFonts w:hint="eastAsia"/>
            </w:rPr>
            <w:t>A台车</w:t>
          </w:r>
          <w:r>
            <w:tab/>
          </w:r>
          <w:r>
            <w:fldChar w:fldCharType="begin"/>
          </w:r>
          <w:r>
            <w:instrText xml:space="preserve"> PAGEREF _Toc6375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_Toc24167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2.2. </w:t>
          </w:r>
          <w:r>
            <w:rPr>
              <w:rFonts w:hint="eastAsia"/>
            </w:rPr>
            <w:t>B台车</w:t>
          </w:r>
          <w:r>
            <w:tab/>
          </w:r>
          <w:r>
            <w:fldChar w:fldCharType="begin"/>
          </w:r>
          <w:r>
            <w:instrText xml:space="preserve"> PAGEREF _Toc24167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_Toc25419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2.3. </w:t>
          </w:r>
          <w:r>
            <w:rPr>
              <w:rFonts w:hint="eastAsia"/>
            </w:rPr>
            <w:t>C台车</w:t>
          </w:r>
          <w:r>
            <w:tab/>
          </w:r>
          <w:r>
            <w:fldChar w:fldCharType="begin"/>
          </w:r>
          <w:r>
            <w:instrText xml:space="preserve"> PAGEREF _Toc25419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_Toc4966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2.4. </w:t>
          </w:r>
          <w:r>
            <w:rPr>
              <w:rFonts w:hint="eastAsia"/>
            </w:rPr>
            <w:t>器械工具包</w:t>
          </w:r>
          <w:r>
            <w:tab/>
          </w:r>
          <w:r>
            <w:fldChar w:fldCharType="begin"/>
          </w:r>
          <w:r>
            <w:instrText xml:space="preserve"> PAGEREF _Toc4966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_Toc18928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 </w:t>
          </w:r>
          <w:r>
            <w:rPr>
              <w:rFonts w:hint="eastAsia"/>
            </w:rPr>
            <w:t>技术分析</w:t>
          </w:r>
          <w:r>
            <w:tab/>
          </w:r>
          <w:r>
            <w:fldChar w:fldCharType="begin"/>
          </w:r>
          <w:r>
            <w:instrText xml:space="preserve"> PAGEREF _Toc18928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_Toc2097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3.1. </w:t>
          </w:r>
          <w:r>
            <w:rPr>
              <w:rFonts w:hint="eastAsia"/>
            </w:rPr>
            <w:t>电脑主机</w:t>
          </w:r>
          <w:r>
            <w:tab/>
          </w:r>
          <w:r>
            <w:fldChar w:fldCharType="begin"/>
          </w:r>
          <w:r>
            <w:instrText xml:space="preserve"> PAGEREF _Toc2097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_Toc17536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3.2. </w:t>
          </w:r>
          <w:r>
            <w:rPr>
              <w:rFonts w:hint="eastAsia"/>
            </w:rPr>
            <w:t>机械臂</w:t>
          </w:r>
          <w:r>
            <w:tab/>
          </w:r>
          <w:r>
            <w:fldChar w:fldCharType="begin"/>
          </w:r>
          <w:r>
            <w:instrText xml:space="preserve"> PAGEREF _Toc17536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_Toc5197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3.3. </w:t>
          </w:r>
          <w:r>
            <w:rPr>
              <w:rFonts w:hint="eastAsia"/>
            </w:rPr>
            <w:t>导航相机系统</w:t>
          </w:r>
          <w:r>
            <w:tab/>
          </w:r>
          <w:r>
            <w:fldChar w:fldCharType="begin"/>
          </w:r>
          <w:r>
            <w:instrText xml:space="preserve"> PAGEREF _Toc5197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_Toc26761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3.3.1. </w:t>
          </w:r>
          <w:r>
            <w:rPr>
              <w:rFonts w:hint="eastAsia"/>
            </w:rPr>
            <w:t>双目相机</w:t>
          </w:r>
          <w:r>
            <w:tab/>
          </w:r>
          <w:r>
            <w:fldChar w:fldCharType="begin"/>
          </w:r>
          <w:r>
            <w:instrText xml:space="preserve"> PAGEREF _Toc26761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_Toc29952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Cs/>
            </w:rPr>
            <w:t xml:space="preserve">3.3.2. </w:t>
          </w:r>
          <w:r>
            <w:rPr>
              <w:rFonts w:hint="eastAsia" w:cs="Times New Roman"/>
              <w:bCs/>
            </w:rPr>
            <w:t>定位标记</w:t>
          </w:r>
          <w:r>
            <w:tab/>
          </w:r>
          <w:r>
            <w:fldChar w:fldCharType="begin"/>
          </w:r>
          <w:r>
            <w:instrText xml:space="preserve"> PAGEREF _Toc29952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_Toc25206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3.4. </w:t>
          </w:r>
          <w:r>
            <w:rPr>
              <w:rFonts w:hint="eastAsia"/>
            </w:rPr>
            <w:t>规划与控制软件</w:t>
          </w:r>
          <w:r>
            <w:tab/>
          </w:r>
          <w:r>
            <w:fldChar w:fldCharType="begin"/>
          </w:r>
          <w:r>
            <w:instrText xml:space="preserve"> PAGEREF _Toc25206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_Toc4789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3.4.1. </w:t>
          </w:r>
          <w:r>
            <w:rPr>
              <w:rFonts w:hint="eastAsia"/>
            </w:rPr>
            <w:t>软件工作流</w:t>
          </w:r>
          <w:r>
            <w:tab/>
          </w:r>
          <w:r>
            <w:fldChar w:fldCharType="begin"/>
          </w:r>
          <w:r>
            <w:instrText xml:space="preserve"> PAGEREF _Toc4789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_Toc17541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3.5. </w:t>
          </w:r>
          <w:r>
            <w:rPr>
              <w:rFonts w:hint="eastAsia"/>
            </w:rPr>
            <w:t>配准方案</w:t>
          </w:r>
          <w:r>
            <w:tab/>
          </w:r>
          <w:r>
            <w:fldChar w:fldCharType="begin"/>
          </w:r>
          <w:r>
            <w:instrText xml:space="preserve"> PAGEREF _Toc17541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_Toc8728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3.5.1. </w:t>
          </w:r>
          <w:r>
            <w:rPr>
              <w:rFonts w:hint="eastAsia"/>
            </w:rPr>
            <w:t>CT-X光配准</w:t>
          </w:r>
          <w:r>
            <w:tab/>
          </w:r>
          <w:r>
            <w:fldChar w:fldCharType="begin"/>
          </w:r>
          <w:r>
            <w:instrText xml:space="preserve"> PAGEREF _Toc8728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_Toc16453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3.5.2. </w:t>
          </w:r>
          <w:r>
            <w:rPr>
              <w:rFonts w:hint="eastAsia"/>
            </w:rPr>
            <w:t>纯二维配准</w:t>
          </w:r>
          <w:r>
            <w:tab/>
          </w:r>
          <w:r>
            <w:fldChar w:fldCharType="begin"/>
          </w:r>
          <w:r>
            <w:instrText xml:space="preserve"> PAGEREF _Toc16453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_Toc20795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 </w:t>
          </w:r>
          <w:r>
            <w:rPr>
              <w:rFonts w:hint="eastAsia"/>
            </w:rPr>
            <w:t>器械工具包</w:t>
          </w:r>
          <w:r>
            <w:tab/>
          </w:r>
          <w:r>
            <w:fldChar w:fldCharType="begin"/>
          </w:r>
          <w:r>
            <w:instrText xml:space="preserve"> PAGEREF _Toc20795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_Toc27475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3.6.1. </w:t>
          </w:r>
          <w:r>
            <w:rPr>
              <w:rFonts w:hint="eastAsia"/>
            </w:rPr>
            <w:t>配准板</w:t>
          </w:r>
          <w:r>
            <w:tab/>
          </w:r>
          <w:r>
            <w:fldChar w:fldCharType="begin"/>
          </w:r>
          <w:r>
            <w:instrText xml:space="preserve"> PAGEREF _Toc27475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_Toc18386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3.6.2. </w:t>
          </w:r>
          <w:r>
            <w:rPr>
              <w:rFonts w:hint="eastAsia"/>
            </w:rPr>
            <w:t>定位器</w:t>
          </w:r>
          <w:r>
            <w:tab/>
          </w:r>
          <w:r>
            <w:fldChar w:fldCharType="begin"/>
          </w:r>
          <w:r>
            <w:instrText xml:space="preserve"> PAGEREF _Toc18386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_Toc15603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3.6.3. </w:t>
          </w:r>
          <w:r>
            <w:rPr>
              <w:rFonts w:hint="eastAsia"/>
            </w:rPr>
            <w:t>套筒</w:t>
          </w:r>
          <w:r>
            <w:tab/>
          </w:r>
          <w:r>
            <w:fldChar w:fldCharType="begin"/>
          </w:r>
          <w:r>
            <w:instrText xml:space="preserve"> PAGEREF _Toc15603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_Toc23782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3.6.4. </w:t>
          </w:r>
          <w:r>
            <w:rPr>
              <w:rFonts w:hint="eastAsia"/>
            </w:rPr>
            <w:t>标记球和参考架</w:t>
          </w:r>
          <w:r>
            <w:tab/>
          </w:r>
          <w:r>
            <w:fldChar w:fldCharType="begin"/>
          </w:r>
          <w:r>
            <w:instrText xml:space="preserve"> PAGEREF _Toc23782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_Toc24954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3.7. </w:t>
          </w:r>
          <w:r>
            <w:rPr>
              <w:rFonts w:hint="eastAsia"/>
            </w:rPr>
            <w:t>关键技术</w:t>
          </w:r>
          <w:r>
            <w:tab/>
          </w:r>
          <w:r>
            <w:fldChar w:fldCharType="begin"/>
          </w:r>
          <w:r>
            <w:instrText xml:space="preserve"> PAGEREF _Toc24954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_Toc16164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3.8. </w:t>
          </w:r>
          <w:r>
            <w:rPr>
              <w:rFonts w:hint="eastAsia"/>
            </w:rPr>
            <w:t>技术可行性分析小结</w:t>
          </w:r>
          <w:r>
            <w:tab/>
          </w:r>
          <w:r>
            <w:fldChar w:fldCharType="begin"/>
          </w:r>
          <w:r>
            <w:instrText xml:space="preserve"> PAGEREF _Toc16164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_Toc23017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4. </w:t>
          </w:r>
          <w:r>
            <w:rPr>
              <w:rFonts w:hint="eastAsia"/>
            </w:rPr>
            <w:t>引用</w:t>
          </w:r>
          <w:r>
            <w:tab/>
          </w:r>
          <w:r>
            <w:fldChar w:fldCharType="begin"/>
          </w:r>
          <w:r>
            <w:instrText xml:space="preserve"> PAGEREF _Toc23017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rPr>
              <w:rFonts w:ascii="宋体" w:hAnsi="宋体" w:cs="宋体"/>
              <w:sz w:val="32"/>
              <w:szCs w:val="40"/>
            </w:rPr>
          </w:pPr>
          <w:r>
            <w:rPr>
              <w:rFonts w:hint="eastAsia" w:ascii="宋体" w:hAnsi="宋体" w:cs="宋体"/>
              <w:szCs w:val="40"/>
            </w:rPr>
            <w:fldChar w:fldCharType="end"/>
          </w:r>
        </w:p>
      </w:sdtContent>
    </w:sdt>
    <w:p>
      <w:pPr>
        <w:pStyle w:val="3"/>
        <w:numPr>
          <w:ilvl w:val="0"/>
          <w:numId w:val="2"/>
        </w:numPr>
        <w:rPr>
          <w:rFonts w:ascii="宋体" w:hAnsi="宋体" w:cs="宋体"/>
          <w:sz w:val="32"/>
          <w:szCs w:val="28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bookmarkStart w:id="65" w:name="_GoBack"/>
      <w:bookmarkEnd w:id="65"/>
    </w:p>
    <w:p>
      <w:pPr>
        <w:pStyle w:val="3"/>
        <w:jc w:val="left"/>
        <w:rPr>
          <w:sz w:val="24"/>
        </w:rPr>
      </w:pPr>
      <w:bookmarkStart w:id="0" w:name="_Toc14003"/>
      <w:bookmarkStart w:id="1" w:name="_Toc16944"/>
      <w:bookmarkStart w:id="2" w:name="_Toc141946776"/>
      <w:bookmarkStart w:id="3" w:name="_Toc32689"/>
      <w:r>
        <w:rPr>
          <w:rFonts w:hint="eastAsia"/>
          <w:sz w:val="24"/>
        </w:rPr>
        <w:t>产品概述</w:t>
      </w:r>
      <w:bookmarkEnd w:id="0"/>
      <w:bookmarkEnd w:id="1"/>
      <w:bookmarkEnd w:id="2"/>
      <w:bookmarkEnd w:id="3"/>
    </w:p>
    <w:p>
      <w:pPr>
        <w:pStyle w:val="5"/>
      </w:pPr>
      <w:bookmarkStart w:id="4" w:name="_Toc141946777"/>
      <w:bookmarkStart w:id="5" w:name="_Toc14920"/>
      <w:r>
        <w:rPr>
          <w:rFonts w:hint="eastAsia"/>
        </w:rPr>
        <w:t>产品组成</w:t>
      </w:r>
      <w:bookmarkEnd w:id="4"/>
      <w:bookmarkEnd w:id="5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该产品由三台车（A台车、B台车、C台车）和器械工具包组成。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其中，A台车包含：导航相机+显示器+电脑主机+UPS+键鼠；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  B台车包含：机械臂+UPS；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  C台车包含：显示器。</w:t>
      </w:r>
    </w:p>
    <w:p>
      <w:pPr>
        <w:pStyle w:val="5"/>
      </w:pPr>
      <w:bookmarkStart w:id="6" w:name="_Toc141946778"/>
      <w:bookmarkStart w:id="7" w:name="_Toc7317"/>
      <w:bookmarkStart w:id="8" w:name="_Toc11912"/>
      <w:r>
        <w:rPr>
          <w:rFonts w:hint="eastAsia"/>
        </w:rPr>
        <w:t>整体实现过程</w:t>
      </w:r>
      <w:bookmarkEnd w:id="6"/>
      <w:bookmarkEnd w:id="7"/>
      <w:bookmarkEnd w:id="8"/>
    </w:p>
    <w:p>
      <w:pPr>
        <w:pStyle w:val="6"/>
        <w:rPr>
          <w:sz w:val="24"/>
        </w:rPr>
      </w:pPr>
      <w:bookmarkStart w:id="9" w:name="_Toc141946779"/>
      <w:bookmarkStart w:id="10" w:name="_Toc26153"/>
      <w:r>
        <w:rPr>
          <w:rFonts w:hint="eastAsia"/>
          <w:sz w:val="24"/>
        </w:rPr>
        <w:t>CT-X片配准</w:t>
      </w:r>
      <w:r>
        <w:rPr>
          <w:rFonts w:hint="eastAsia"/>
          <w:sz w:val="24"/>
          <w:szCs w:val="32"/>
        </w:rPr>
        <w:t>流程</w:t>
      </w:r>
      <w:bookmarkEnd w:id="9"/>
      <w:bookmarkEnd w:id="10"/>
    </w:p>
    <w:p>
      <w:pPr>
        <w:numPr>
          <w:ilvl w:val="0"/>
          <w:numId w:val="3"/>
        </w:numPr>
        <w:rPr>
          <w:sz w:val="24"/>
        </w:rPr>
      </w:pPr>
      <w:bookmarkStart w:id="11" w:name="_Toc1175"/>
      <w:bookmarkStart w:id="12" w:name="_Toc4061"/>
      <w:r>
        <w:rPr>
          <w:rFonts w:hint="eastAsia"/>
          <w:sz w:val="24"/>
        </w:rPr>
        <w:t>在术前CT中进行手术规划，制定手术方案。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术中做正/侧位X光图像采集，计算患者、机械臂、C臂机</w:t>
      </w:r>
      <w:r>
        <w:rPr>
          <w:sz w:val="24"/>
        </w:rPr>
        <w:t>和导航相机</w:t>
      </w:r>
      <w:r>
        <w:rPr>
          <w:rFonts w:hint="eastAsia"/>
          <w:sz w:val="24"/>
        </w:rPr>
        <w:t>之间的空间位置关系。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再将术中患者病灶X光图像与术前的CT做配准，</w:t>
      </w:r>
      <w:r>
        <w:rPr>
          <w:sz w:val="24"/>
        </w:rPr>
        <w:t>将CT坐标系统一到导航相机坐标系中</w:t>
      </w:r>
      <w:r>
        <w:rPr>
          <w:rFonts w:hint="eastAsia"/>
          <w:sz w:val="24"/>
        </w:rPr>
        <w:t>。</w:t>
      </w:r>
    </w:p>
    <w:p>
      <w:pPr>
        <w:numPr>
          <w:ilvl w:val="0"/>
          <w:numId w:val="3"/>
        </w:numPr>
        <w:rPr>
          <w:sz w:val="24"/>
        </w:rPr>
      </w:pPr>
      <w:r>
        <w:rPr>
          <w:sz w:val="24"/>
        </w:rPr>
        <w:t>根据</w:t>
      </w:r>
      <w:r>
        <w:rPr>
          <w:rFonts w:hint="eastAsia"/>
          <w:sz w:val="24"/>
        </w:rPr>
        <w:t>规划好的</w:t>
      </w:r>
      <w:r>
        <w:rPr>
          <w:sz w:val="24"/>
        </w:rPr>
        <w:t>通道</w:t>
      </w:r>
      <w:r>
        <w:rPr>
          <w:rFonts w:hint="eastAsia"/>
          <w:sz w:val="24"/>
        </w:rPr>
        <w:t>数据</w:t>
      </w:r>
      <w:r>
        <w:rPr>
          <w:sz w:val="24"/>
        </w:rPr>
        <w:t>计算出机械臂的定位数据并</w:t>
      </w:r>
      <w:r>
        <w:rPr>
          <w:rFonts w:hint="eastAsia"/>
          <w:sz w:val="24"/>
        </w:rPr>
        <w:t>发送至软件，机械臂</w:t>
      </w:r>
      <w:r>
        <w:rPr>
          <w:sz w:val="24"/>
        </w:rPr>
        <w:t>控制器计算出</w:t>
      </w:r>
      <w:r>
        <w:rPr>
          <w:rFonts w:hint="eastAsia"/>
          <w:sz w:val="24"/>
        </w:rPr>
        <w:t>最优路径，进行空间定位。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医生依据机械臂建立的空间定位通道，手动置钉。导航相机实时监测机械臂</w:t>
      </w:r>
      <w:r>
        <w:rPr>
          <w:sz w:val="24"/>
        </w:rPr>
        <w:t>和</w:t>
      </w:r>
      <w:r>
        <w:rPr>
          <w:rFonts w:hint="eastAsia"/>
          <w:sz w:val="24"/>
        </w:rPr>
        <w:t>患者的相对位置，</w:t>
      </w:r>
      <w:r>
        <w:rPr>
          <w:sz w:val="24"/>
        </w:rPr>
        <w:t>当</w:t>
      </w:r>
      <w:r>
        <w:rPr>
          <w:rFonts w:hint="eastAsia"/>
          <w:sz w:val="24"/>
        </w:rPr>
        <w:t>患者</w:t>
      </w:r>
      <w:r>
        <w:rPr>
          <w:sz w:val="24"/>
        </w:rPr>
        <w:t>姿态发生</w:t>
      </w:r>
      <w:r>
        <w:rPr>
          <w:rFonts w:hint="eastAsia"/>
          <w:sz w:val="24"/>
        </w:rPr>
        <w:t>变动</w:t>
      </w:r>
      <w:r>
        <w:rPr>
          <w:sz w:val="24"/>
        </w:rPr>
        <w:t>，</w:t>
      </w:r>
      <w:r>
        <w:rPr>
          <w:rFonts w:hint="eastAsia"/>
          <w:sz w:val="24"/>
        </w:rPr>
        <w:t>机械臂位置进行相应</w:t>
      </w:r>
      <w:r>
        <w:rPr>
          <w:sz w:val="24"/>
        </w:rPr>
        <w:t>修</w:t>
      </w:r>
      <w:r>
        <w:rPr>
          <w:rFonts w:hint="eastAsia"/>
          <w:sz w:val="24"/>
        </w:rPr>
        <w:t>正。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置钉时，通过导航相机监测</w:t>
      </w:r>
      <w:r>
        <w:rPr>
          <w:sz w:val="24"/>
        </w:rPr>
        <w:t>手术工具的位置</w:t>
      </w:r>
      <w:r>
        <w:rPr>
          <w:rFonts w:hint="eastAsia"/>
          <w:sz w:val="24"/>
        </w:rPr>
        <w:t>，进行可视化的术中</w:t>
      </w:r>
      <w:r>
        <w:rPr>
          <w:sz w:val="24"/>
        </w:rPr>
        <w:t>实时</w:t>
      </w:r>
      <w:r>
        <w:rPr>
          <w:rFonts w:hint="eastAsia"/>
          <w:sz w:val="24"/>
        </w:rPr>
        <w:t>导航。</w:t>
      </w:r>
    </w:p>
    <w:p>
      <w:pPr>
        <w:pStyle w:val="6"/>
        <w:rPr>
          <w:sz w:val="24"/>
        </w:rPr>
      </w:pPr>
      <w:bookmarkStart w:id="13" w:name="_Toc141946780"/>
      <w:bookmarkStart w:id="14" w:name="_Toc16600"/>
      <w:r>
        <w:rPr>
          <w:rFonts w:hint="eastAsia"/>
          <w:sz w:val="24"/>
        </w:rPr>
        <w:t>纯</w:t>
      </w:r>
      <w:r>
        <w:rPr>
          <w:sz w:val="24"/>
        </w:rPr>
        <w:t>二</w:t>
      </w:r>
      <w:r>
        <w:rPr>
          <w:rFonts w:hint="eastAsia"/>
          <w:sz w:val="24"/>
        </w:rPr>
        <w:t>维</w:t>
      </w:r>
      <w:r>
        <w:rPr>
          <w:sz w:val="24"/>
        </w:rPr>
        <w:t>图像</w:t>
      </w:r>
      <w:r>
        <w:rPr>
          <w:rFonts w:hint="eastAsia"/>
          <w:sz w:val="24"/>
        </w:rPr>
        <w:t>配准流程</w:t>
      </w:r>
      <w:bookmarkEnd w:id="13"/>
      <w:bookmarkEnd w:id="14"/>
    </w:p>
    <w:p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术中拍摄2-3个不同</w:t>
      </w:r>
      <w:r>
        <w:rPr>
          <w:rFonts w:hint="eastAsia"/>
          <w:sz w:val="24"/>
          <w:szCs w:val="32"/>
        </w:rPr>
        <w:t>位置、不同角度</w:t>
      </w:r>
      <w:r>
        <w:rPr>
          <w:rFonts w:hint="eastAsia"/>
          <w:sz w:val="24"/>
        </w:rPr>
        <w:t>的X片，在X片上进行手术规划，制定手术方案。导航相机实时监测、记录机械臂、C臂机与患者的相对位置。</w:t>
      </w:r>
    </w:p>
    <w:p>
      <w:pPr>
        <w:numPr>
          <w:ilvl w:val="0"/>
          <w:numId w:val="4"/>
        </w:numPr>
        <w:rPr>
          <w:sz w:val="24"/>
        </w:rPr>
      </w:pPr>
      <w:r>
        <w:rPr>
          <w:sz w:val="24"/>
        </w:rPr>
        <w:t>根据</w:t>
      </w:r>
      <w:r>
        <w:rPr>
          <w:rFonts w:hint="eastAsia"/>
          <w:sz w:val="24"/>
        </w:rPr>
        <w:t>规划</w:t>
      </w:r>
      <w:r>
        <w:rPr>
          <w:sz w:val="24"/>
        </w:rPr>
        <w:t>数据计算三维定位通道和机械臂的定位数据，将定位数据</w:t>
      </w:r>
      <w:r>
        <w:rPr>
          <w:rFonts w:hint="eastAsia"/>
          <w:sz w:val="24"/>
        </w:rPr>
        <w:t>发送至软件，机械臂</w:t>
      </w:r>
      <w:r>
        <w:rPr>
          <w:sz w:val="24"/>
        </w:rPr>
        <w:t>控制器计算出</w:t>
      </w:r>
      <w:r>
        <w:rPr>
          <w:rFonts w:hint="eastAsia"/>
          <w:sz w:val="24"/>
        </w:rPr>
        <w:t>最优路径，进行空间定位。</w:t>
      </w:r>
    </w:p>
    <w:p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医生依据机械臂建立的空间定位通道，手动置钉。导航相机实时监测机械臂</w:t>
      </w:r>
      <w:r>
        <w:rPr>
          <w:sz w:val="24"/>
        </w:rPr>
        <w:t>和</w:t>
      </w:r>
      <w:r>
        <w:rPr>
          <w:rFonts w:hint="eastAsia"/>
          <w:sz w:val="24"/>
        </w:rPr>
        <w:t>患者</w:t>
      </w:r>
      <w:r>
        <w:rPr>
          <w:sz w:val="24"/>
        </w:rPr>
        <w:t>的</w:t>
      </w:r>
      <w:r>
        <w:rPr>
          <w:rFonts w:hint="eastAsia"/>
          <w:sz w:val="24"/>
        </w:rPr>
        <w:t>相对位置，</w:t>
      </w:r>
      <w:r>
        <w:rPr>
          <w:sz w:val="24"/>
        </w:rPr>
        <w:t>当</w:t>
      </w:r>
      <w:r>
        <w:rPr>
          <w:rFonts w:hint="eastAsia"/>
          <w:sz w:val="24"/>
        </w:rPr>
        <w:t>患者</w:t>
      </w:r>
      <w:r>
        <w:rPr>
          <w:sz w:val="24"/>
        </w:rPr>
        <w:t>姿态发生</w:t>
      </w:r>
      <w:r>
        <w:rPr>
          <w:rFonts w:hint="eastAsia"/>
          <w:sz w:val="24"/>
        </w:rPr>
        <w:t>变动，机械臂位置进行相应</w:t>
      </w:r>
      <w:r>
        <w:rPr>
          <w:sz w:val="24"/>
        </w:rPr>
        <w:t>修</w:t>
      </w:r>
      <w:r>
        <w:rPr>
          <w:rFonts w:hint="eastAsia"/>
          <w:sz w:val="24"/>
        </w:rPr>
        <w:t>正。</w:t>
      </w:r>
    </w:p>
    <w:p>
      <w:pPr>
        <w:numPr>
          <w:ilvl w:val="0"/>
          <w:numId w:val="4"/>
        </w:numPr>
        <w:rPr>
          <w:rFonts w:ascii="Arial" w:hAnsi="Arial"/>
          <w:b/>
          <w:sz w:val="24"/>
        </w:rPr>
      </w:pPr>
      <w:r>
        <w:rPr>
          <w:rFonts w:hint="eastAsia"/>
          <w:sz w:val="24"/>
        </w:rPr>
        <w:t>置钉时，通过导航相机监测</w:t>
      </w:r>
      <w:r>
        <w:rPr>
          <w:sz w:val="24"/>
        </w:rPr>
        <w:t>手术工具的位置</w:t>
      </w:r>
      <w:r>
        <w:rPr>
          <w:rFonts w:hint="eastAsia"/>
          <w:sz w:val="24"/>
        </w:rPr>
        <w:t>，进行</w:t>
      </w:r>
      <w:r>
        <w:rPr>
          <w:sz w:val="24"/>
        </w:rPr>
        <w:t>实时</w:t>
      </w:r>
      <w:r>
        <w:rPr>
          <w:rFonts w:hint="eastAsia"/>
          <w:sz w:val="24"/>
        </w:rPr>
        <w:t>可视化的术中导航。</w:t>
      </w:r>
    </w:p>
    <w:p>
      <w:pPr>
        <w:pStyle w:val="3"/>
        <w:jc w:val="left"/>
        <w:rPr>
          <w:rFonts w:ascii="Arial" w:hAnsi="Arial"/>
          <w:kern w:val="2"/>
          <w:sz w:val="24"/>
        </w:rPr>
      </w:pPr>
      <w:bookmarkStart w:id="15" w:name="_Toc141946781"/>
      <w:bookmarkStart w:id="16" w:name="_Toc12297"/>
      <w:r>
        <w:rPr>
          <w:rFonts w:hint="eastAsia"/>
          <w:kern w:val="2"/>
          <w:sz w:val="24"/>
        </w:rPr>
        <w:t>产品设计目标</w:t>
      </w:r>
      <w:bookmarkEnd w:id="15"/>
      <w:bookmarkEnd w:id="16"/>
    </w:p>
    <w:p>
      <w:pPr>
        <w:pStyle w:val="5"/>
      </w:pPr>
      <w:bookmarkStart w:id="17" w:name="_Toc141946782"/>
      <w:bookmarkStart w:id="18" w:name="_Toc6375"/>
      <w:r>
        <w:rPr>
          <w:rFonts w:hint="eastAsia"/>
        </w:rPr>
        <w:t>A台车</w:t>
      </w:r>
      <w:bookmarkEnd w:id="17"/>
      <w:bookmarkEnd w:id="18"/>
    </w:p>
    <w:tbl>
      <w:tblPr>
        <w:tblStyle w:val="19"/>
        <w:tblW w:w="8385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"/>
        <w:gridCol w:w="1275"/>
        <w:gridCol w:w="3074"/>
        <w:gridCol w:w="307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指标项目</w:t>
            </w:r>
          </w:p>
        </w:tc>
        <w:tc>
          <w:tcPr>
            <w:tcW w:w="307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理想目标</w:t>
            </w:r>
          </w:p>
        </w:tc>
        <w:tc>
          <w:tcPr>
            <w:tcW w:w="307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最低目标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2" w:hRule="atLeast"/>
          <w:jc w:val="center"/>
        </w:trPr>
        <w:tc>
          <w:tcPr>
            <w:tcW w:w="962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主要功能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5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跟踪患者、机械臂、C臂机、手术器械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的姿态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，计算相对位置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承载规划与控制软件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与C台车进行有线通信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控制机械臂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6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跟踪患者、机械臂、C臂机、手术器械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的姿态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，计算相对位置</w:t>
            </w:r>
          </w:p>
          <w:p>
            <w:pPr>
              <w:widowControl/>
              <w:numPr>
                <w:ilvl w:val="0"/>
                <w:numId w:val="6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承载规划与控制软件</w:t>
            </w:r>
          </w:p>
          <w:p>
            <w:pPr>
              <w:widowControl/>
              <w:numPr>
                <w:ilvl w:val="0"/>
                <w:numId w:val="6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与C台车进行有线通信</w:t>
            </w:r>
          </w:p>
          <w:p>
            <w:pPr>
              <w:widowControl/>
              <w:numPr>
                <w:ilvl w:val="0"/>
                <w:numId w:val="6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控制机械臂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  <w:jc w:val="center"/>
        </w:trPr>
        <w:tc>
          <w:tcPr>
            <w:tcW w:w="962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适配性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1）适配规划与控制软件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2）适配手术器械中的标记物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1）适配规划与控制软件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2）适配手术器械中的标记物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962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连接方式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与B台车通过电源线、数据线连接</w:t>
            </w:r>
          </w:p>
          <w:p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与C台车有线连接</w:t>
            </w:r>
          </w:p>
          <w:p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与C臂机主控台车通过网线连接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与B台车通过电源线、数据线连接</w:t>
            </w:r>
          </w:p>
          <w:p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与C台车有线连接</w:t>
            </w:r>
          </w:p>
          <w:p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与C臂机主控台车通过网线连接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组份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导航相机、医用悬臂、显示器、主机、医用台车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sz w:val="24"/>
                <w:szCs w:val="32"/>
              </w:rPr>
              <w:t>UPS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、鼠标、键盘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导航相机、医用悬臂、显示器、主机、医用台车、UPS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、鼠标、键盘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跟踪精度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0.12mm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0.</w:t>
            </w:r>
            <w:r>
              <w:rPr>
                <w:rFonts w:ascii="宋体" w:hAnsi="宋体" w:cs="宋体"/>
                <w:color w:val="000000"/>
                <w:sz w:val="24"/>
              </w:rPr>
              <w:t>20</w:t>
            </w:r>
            <w:r>
              <w:rPr>
                <w:rFonts w:hint="eastAsia" w:ascii="宋体" w:hAnsi="宋体" w:cs="宋体"/>
                <w:color w:val="000000"/>
                <w:sz w:val="24"/>
              </w:rPr>
              <w:t>mm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6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跟踪帧率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250Hz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2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0Hz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7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工作范围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drawing>
                <wp:inline distT="0" distB="0" distL="114300" distR="114300">
                  <wp:extent cx="1605280" cy="1523365"/>
                  <wp:effectExtent l="0" t="0" r="13970" b="635"/>
                  <wp:docPr id="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80" cy="152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drawing>
                <wp:inline distT="0" distB="0" distL="114300" distR="114300">
                  <wp:extent cx="1605280" cy="1523365"/>
                  <wp:effectExtent l="0" t="0" r="13970" b="635"/>
                  <wp:docPr id="4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80" cy="152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8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主机配置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/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/</w:t>
            </w:r>
          </w:p>
        </w:tc>
      </w:tr>
    </w:tbl>
    <w:p>
      <w:pPr>
        <w:pStyle w:val="5"/>
      </w:pPr>
      <w:bookmarkStart w:id="19" w:name="_Toc141946783"/>
      <w:bookmarkStart w:id="20" w:name="_Toc24167"/>
      <w:r>
        <w:rPr>
          <w:rFonts w:hint="eastAsia"/>
        </w:rPr>
        <w:t>B台车</w:t>
      </w:r>
      <w:bookmarkEnd w:id="19"/>
      <w:bookmarkEnd w:id="20"/>
    </w:p>
    <w:tbl>
      <w:tblPr>
        <w:tblStyle w:val="19"/>
        <w:tblW w:w="8400" w:type="dxa"/>
        <w:tblInd w:w="9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5"/>
        <w:gridCol w:w="1275"/>
        <w:gridCol w:w="3075"/>
        <w:gridCol w:w="307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指标项目</w:t>
            </w:r>
          </w:p>
        </w:tc>
        <w:tc>
          <w:tcPr>
            <w:tcW w:w="30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理想目标</w:t>
            </w:r>
          </w:p>
        </w:tc>
        <w:tc>
          <w:tcPr>
            <w:tcW w:w="30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最低目标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主要功能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1）接受定位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2）手术路径定位导航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3）配合X片校准</w:t>
            </w:r>
          </w:p>
          <w:p>
            <w:pP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/>
                <w:sz w:val="24"/>
              </w:rPr>
              <w:t>4）把持定位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1）接受定位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2）手术路径定位导航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3）配合X片校准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适用环境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手术室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手术室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7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组份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宋体" w:hAnsi="宋体" w:cs="宋体"/>
                <w:color w:val="000000"/>
                <w:sz w:val="24"/>
              </w:rPr>
              <w:t>机械臂、医用台车、UPS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机械臂、医用台车、UPS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连接方式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9"/>
              </w:num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与</w:t>
            </w:r>
            <w:r>
              <w:rPr>
                <w:rFonts w:ascii="宋体" w:hAnsi="宋体" w:cs="宋体"/>
                <w:color w:val="000000"/>
                <w:sz w:val="24"/>
              </w:rPr>
              <w:t>A</w:t>
            </w:r>
            <w:r>
              <w:rPr>
                <w:rFonts w:hint="eastAsia" w:ascii="宋体" w:hAnsi="宋体" w:cs="宋体"/>
                <w:color w:val="000000"/>
                <w:sz w:val="24"/>
              </w:rPr>
              <w:t>台车通过电源线、数据线连接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与C台车</w:t>
            </w:r>
            <w:r>
              <w:rPr>
                <w:rFonts w:hint="eastAsia" w:ascii="宋体" w:hAnsi="宋体" w:cs="宋体"/>
                <w:color w:val="000000"/>
                <w:sz w:val="24"/>
              </w:rPr>
              <w:t>有线</w:t>
            </w:r>
            <w:r>
              <w:rPr>
                <w:rFonts w:ascii="宋体" w:hAnsi="宋体" w:cs="宋体"/>
                <w:color w:val="000000"/>
                <w:sz w:val="24"/>
              </w:rPr>
              <w:t>连接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与</w:t>
            </w:r>
            <w:r>
              <w:rPr>
                <w:rFonts w:ascii="宋体" w:hAnsi="宋体" w:cs="宋体"/>
                <w:color w:val="000000"/>
                <w:sz w:val="24"/>
              </w:rPr>
              <w:t>A</w:t>
            </w:r>
            <w:r>
              <w:rPr>
                <w:rFonts w:hint="eastAsia" w:ascii="宋体" w:hAnsi="宋体" w:cs="宋体"/>
                <w:color w:val="000000"/>
                <w:sz w:val="24"/>
              </w:rPr>
              <w:t>台车通过电源线、数据线连接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与C台车</w:t>
            </w:r>
            <w:r>
              <w:rPr>
                <w:rFonts w:hint="eastAsia" w:ascii="宋体" w:hAnsi="宋体" w:cs="宋体"/>
                <w:color w:val="000000"/>
                <w:sz w:val="24"/>
              </w:rPr>
              <w:t>有线</w:t>
            </w:r>
            <w:r>
              <w:rPr>
                <w:rFonts w:ascii="宋体" w:hAnsi="宋体" w:cs="宋体"/>
                <w:color w:val="000000"/>
                <w:sz w:val="24"/>
              </w:rPr>
              <w:t>连接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裸机重量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≤150kg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≤</w:t>
            </w:r>
            <w:r>
              <w:rPr>
                <w:rFonts w:ascii="宋体" w:hAnsi="宋体" w:cs="宋体"/>
                <w:color w:val="000000"/>
                <w:sz w:val="24"/>
              </w:rPr>
              <w:t>20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0kg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6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包装方式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独立包装，非无菌提供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独立包装，非无菌提供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7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自由度</w:t>
            </w:r>
          </w:p>
        </w:tc>
        <w:tc>
          <w:tcPr>
            <w:tcW w:w="30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7个</w:t>
            </w:r>
          </w:p>
        </w:tc>
        <w:tc>
          <w:tcPr>
            <w:tcW w:w="3075" w:type="dxa"/>
            <w:tcBorders>
              <w:top w:val="nil"/>
              <w:left w:val="single" w:color="auto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6个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8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额定负载</w:t>
            </w:r>
          </w:p>
        </w:tc>
        <w:tc>
          <w:tcPr>
            <w:tcW w:w="3075" w:type="dxa"/>
            <w:tcBorders>
              <w:top w:val="single" w:color="auto" w:sz="4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7kg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5kg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9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臂展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850mm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800mm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位置重复性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±0.0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mm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±0.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mm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11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力控方式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各关节转矩传感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末端六维力传感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12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力测量精度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1.5N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4N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2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定位线性精度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≤1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.0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mm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≤1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.5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mm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12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定位角度精度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≤1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.0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°</w:t>
            </w:r>
          </w:p>
        </w:tc>
        <w:tc>
          <w:tcPr>
            <w:tcW w:w="30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≤1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.5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°</w:t>
            </w:r>
          </w:p>
        </w:tc>
      </w:tr>
    </w:tbl>
    <w:p>
      <w:pPr>
        <w:pStyle w:val="5"/>
        <w:rPr>
          <w:rFonts w:asciiTheme="minorHAnsi" w:hAnsiTheme="minorHAnsi"/>
        </w:rPr>
      </w:pPr>
      <w:bookmarkStart w:id="21" w:name="_Toc141946784"/>
      <w:bookmarkStart w:id="22" w:name="_Toc25419"/>
      <w:r>
        <w:rPr>
          <w:rFonts w:hint="eastAsia"/>
        </w:rPr>
        <w:t>C台车</w:t>
      </w:r>
      <w:bookmarkEnd w:id="21"/>
      <w:bookmarkEnd w:id="22"/>
    </w:p>
    <w:tbl>
      <w:tblPr>
        <w:tblStyle w:val="19"/>
        <w:tblW w:w="8379" w:type="dxa"/>
        <w:tblInd w:w="9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4"/>
        <w:gridCol w:w="1318"/>
        <w:gridCol w:w="3050"/>
        <w:gridCol w:w="306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9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13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指标项目</w:t>
            </w:r>
          </w:p>
        </w:tc>
        <w:tc>
          <w:tcPr>
            <w:tcW w:w="305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理想目标</w:t>
            </w:r>
          </w:p>
        </w:tc>
        <w:tc>
          <w:tcPr>
            <w:tcW w:w="306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最低目标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4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主要功能</w:t>
            </w:r>
          </w:p>
        </w:tc>
        <w:tc>
          <w:tcPr>
            <w:tcW w:w="305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为医生、跟台人员提供进行手术规划、软件操控的平台</w:t>
            </w:r>
          </w:p>
        </w:tc>
        <w:tc>
          <w:tcPr>
            <w:tcW w:w="306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为医生、跟台人员提供进行手术规划、软件操控的平台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94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适用环境</w:t>
            </w:r>
          </w:p>
        </w:tc>
        <w:tc>
          <w:tcPr>
            <w:tcW w:w="305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手术室</w:t>
            </w:r>
          </w:p>
        </w:tc>
        <w:tc>
          <w:tcPr>
            <w:tcW w:w="306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手术室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4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适配性</w:t>
            </w:r>
          </w:p>
        </w:tc>
        <w:tc>
          <w:tcPr>
            <w:tcW w:w="305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适配A台车</w:t>
            </w:r>
          </w:p>
        </w:tc>
        <w:tc>
          <w:tcPr>
            <w:tcW w:w="306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适配A台车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2" w:hRule="atLeast"/>
        </w:trPr>
        <w:tc>
          <w:tcPr>
            <w:tcW w:w="944" w:type="dxa"/>
            <w:tcBorders>
              <w:top w:val="nil"/>
              <w:left w:val="single" w:color="000000" w:sz="8" w:space="0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组份</w:t>
            </w:r>
          </w:p>
        </w:tc>
        <w:tc>
          <w:tcPr>
            <w:tcW w:w="3050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显示器、医用台车</w:t>
            </w:r>
          </w:p>
        </w:tc>
        <w:tc>
          <w:tcPr>
            <w:tcW w:w="3067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显示器、医用台车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9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13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连接方式</w:t>
            </w:r>
          </w:p>
        </w:tc>
        <w:tc>
          <w:tcPr>
            <w:tcW w:w="30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与A台车有线连接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与A台车有线连接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9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6</w:t>
            </w:r>
          </w:p>
        </w:tc>
        <w:tc>
          <w:tcPr>
            <w:tcW w:w="13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软件功能</w:t>
            </w:r>
          </w:p>
        </w:tc>
        <w:tc>
          <w:tcPr>
            <w:tcW w:w="30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操控A台车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操控A台车</w:t>
            </w:r>
          </w:p>
        </w:tc>
      </w:tr>
    </w:tbl>
    <w:p>
      <w:pPr>
        <w:rPr>
          <w:sz w:val="24"/>
        </w:rPr>
      </w:pPr>
    </w:p>
    <w:p>
      <w:pPr>
        <w:pStyle w:val="5"/>
      </w:pPr>
      <w:r>
        <w:br w:type="page"/>
      </w:r>
      <w:bookmarkStart w:id="23" w:name="_Toc141946785"/>
      <w:bookmarkStart w:id="24" w:name="_Toc4966"/>
      <w:r>
        <w:rPr>
          <w:rFonts w:hint="eastAsia"/>
        </w:rPr>
        <w:t>器械工具包</w:t>
      </w:r>
      <w:bookmarkEnd w:id="23"/>
      <w:bookmarkEnd w:id="24"/>
    </w:p>
    <w:tbl>
      <w:tblPr>
        <w:tblStyle w:val="19"/>
        <w:tblW w:w="8385" w:type="dxa"/>
        <w:tblInd w:w="9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"/>
        <w:gridCol w:w="1341"/>
        <w:gridCol w:w="3008"/>
        <w:gridCol w:w="30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指标项目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理想目标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最低目标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主要功能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1）为术中X片配准</w:t>
            </w:r>
            <w:r>
              <w:rPr>
                <w:rFonts w:hint="eastAsia"/>
                <w:sz w:val="24"/>
                <w:szCs w:val="32"/>
              </w:rPr>
              <w:t>提供工具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2）为手术器械（开路锥、克氏针、螺钉等）提供手术通道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3）为患者、机械臂、C臂机、手术器械提供标记物，以供导航相机追踪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1）为术中X片配准</w:t>
            </w:r>
            <w:r>
              <w:rPr>
                <w:rFonts w:hint="eastAsia"/>
                <w:sz w:val="24"/>
                <w:szCs w:val="32"/>
              </w:rPr>
              <w:t>提供工具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2）为手术器械（开路锥、克氏针、螺钉等）提供手术通道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3）为患者、机械臂、C臂机、手术器械提供标记物，以供导航相机追踪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适配性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适配机械臂与导航相机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适配机械臂与导航相机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组分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配准板、定位器、套筒、标记球、参考架等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配准板、定位器、套筒、标记球、参考架等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4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连接方式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配准板与机械臂/C臂机刚性连接</w:t>
            </w:r>
          </w:p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定位器与机械臂末端刚性连接</w:t>
            </w:r>
          </w:p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套筒与定位器连接</w:t>
            </w:r>
          </w:p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标记球与参考架连接</w:t>
            </w:r>
          </w:p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参考架与患者（体表/骨骼）、机械臂、配准板、手术器械连接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配准板与机械臂/C臂机刚性连接</w:t>
            </w:r>
          </w:p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定位器与机械臂末端刚性连接</w:t>
            </w:r>
          </w:p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套筒与定位器连接</w:t>
            </w:r>
          </w:p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标记球与参考架连接</w:t>
            </w:r>
          </w:p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参考架与患者（体表/骨骼）、机械臂、配准板、手术器械连接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包装方式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独立包装，非无菌提供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独立包装，非无菌提供</w:t>
            </w:r>
          </w:p>
        </w:tc>
      </w:tr>
    </w:tbl>
    <w:p>
      <w:pPr>
        <w:rPr>
          <w:sz w:val="24"/>
        </w:rPr>
      </w:pPr>
    </w:p>
    <w:p>
      <w:pPr>
        <w:pStyle w:val="3"/>
        <w:jc w:val="left"/>
        <w:rPr>
          <w:sz w:val="24"/>
        </w:rPr>
      </w:pPr>
      <w:bookmarkStart w:id="25" w:name="_Toc141946786"/>
      <w:bookmarkStart w:id="26" w:name="_Toc18928"/>
      <w:r>
        <w:rPr>
          <w:rFonts w:hint="eastAsia"/>
          <w:sz w:val="24"/>
        </w:rPr>
        <w:t>技术分析</w:t>
      </w:r>
      <w:bookmarkEnd w:id="11"/>
      <w:bookmarkEnd w:id="12"/>
      <w:bookmarkEnd w:id="25"/>
      <w:bookmarkEnd w:id="26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本文所述的装置中，所涉及的相关硬件、机械技术、软件算法和界面开发，在技术层面上实现较为成熟。</w:t>
      </w:r>
    </w:p>
    <w:p>
      <w:pPr>
        <w:pStyle w:val="13"/>
        <w:ind w:firstLine="480" w:firstLineChars="200"/>
      </w:pPr>
      <w:bookmarkStart w:id="27" w:name="_Toc8927"/>
      <w:r>
        <w:rPr>
          <w:rFonts w:hint="eastAsia" w:ascii="宋体" w:hAnsi="宋体" w:cs="宋体"/>
          <w:sz w:val="24"/>
        </w:rPr>
        <w:t>涉及到结构相关的组成部分，已通过开发的demo版本验证和上一代产品（MS-001）的技术改进、叠加或堆砌。部分结构组件，可以从市场采购或者通过供应商定制。</w:t>
      </w:r>
    </w:p>
    <w:p>
      <w:pPr>
        <w:pStyle w:val="5"/>
      </w:pPr>
      <w:bookmarkStart w:id="28" w:name="_Toc141946787"/>
      <w:bookmarkStart w:id="29" w:name="_Toc2097"/>
      <w:r>
        <w:rPr>
          <w:rFonts w:hint="eastAsia"/>
        </w:rPr>
        <w:t>电脑主机</w:t>
      </w:r>
      <w:bookmarkEnd w:id="28"/>
      <w:bookmarkEnd w:id="29"/>
    </w:p>
    <w:p>
      <w:pPr>
        <w:ind w:firstLine="420"/>
        <w:rPr>
          <w:sz w:val="24"/>
        </w:rPr>
      </w:pPr>
      <w:r>
        <w:rPr>
          <w:rFonts w:hint="eastAsia"/>
          <w:sz w:val="24"/>
        </w:rPr>
        <w:t>市面上的电脑主机（品牌机、组装机等）可以满足</w:t>
      </w:r>
      <w:r>
        <w:rPr>
          <w:rFonts w:hint="eastAsia"/>
          <w:sz w:val="24"/>
          <w:lang w:val="en-US" w:eastAsia="zh-CN"/>
        </w:rPr>
        <w:t>系统</w:t>
      </w:r>
      <w:r>
        <w:rPr>
          <w:rFonts w:hint="eastAsia"/>
          <w:sz w:val="24"/>
        </w:rPr>
        <w:t>主机的功能需求，可以从市场采购或者要求供应商定制；</w:t>
      </w:r>
    </w:p>
    <w:p>
      <w:pPr>
        <w:pStyle w:val="5"/>
        <w:rPr>
          <w:rFonts w:asciiTheme="minorHAnsi" w:hAnsiTheme="minorHAnsi"/>
        </w:rPr>
      </w:pPr>
      <w:bookmarkStart w:id="30" w:name="_Toc141946788"/>
      <w:bookmarkStart w:id="31" w:name="_Toc17536"/>
      <w:r>
        <w:rPr>
          <w:rFonts w:hint="eastAsia"/>
        </w:rPr>
        <w:t>机械臂</w:t>
      </w:r>
      <w:bookmarkEnd w:id="30"/>
      <w:bookmarkEnd w:id="31"/>
    </w:p>
    <w:p>
      <w:pPr>
        <w:ind w:firstLine="420"/>
        <w:rPr>
          <w:sz w:val="24"/>
        </w:rPr>
      </w:pPr>
      <w:r>
        <w:rPr>
          <w:rFonts w:hint="eastAsia"/>
          <w:sz w:val="24"/>
        </w:rPr>
        <w:t>机械臂系统可以从市场采购或者要求供应商定制。对于其操作软件，需进行后续的二次开发。</w:t>
      </w:r>
    </w:p>
    <w:tbl>
      <w:tblPr>
        <w:tblStyle w:val="19"/>
        <w:tblW w:w="5000" w:type="pct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90"/>
        <w:gridCol w:w="1778"/>
        <w:gridCol w:w="1770"/>
        <w:gridCol w:w="1906"/>
        <w:gridCol w:w="15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23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参数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UR5e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史陶比尔 TX2-60L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库卡 </w:t>
            </w:r>
          </w:p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LBR Med 7 /14</w:t>
            </w:r>
          </w:p>
          <w:p>
            <w:pPr>
              <w:pStyle w:val="18"/>
              <w:widowControl/>
              <w:rPr>
                <w:rFonts w:ascii="宋体" w:hAnsi="宋体" w:cs="宋体"/>
              </w:rPr>
            </w:pP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珞石 xMate7 Pro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自由度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6个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6个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7个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7</w:t>
            </w:r>
            <w:r>
              <w:rPr>
                <w:rFonts w:hint="eastAsia"/>
              </w:rPr>
              <w:t>个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有效负载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5kg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5kg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7kg/14kg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7kg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臂展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850mm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920mm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800mm/820mm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850mm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位置重复性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±0.03mm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±0.03mm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±0.1mm/0.15mm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±0.03mm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自重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20.7kg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52.9kg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25.5kg/32.3kg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29kg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力控方式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末端六维力传感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末端六维力传感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各关节转矩传感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各关节转矩传感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力测量精度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4N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/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1.5N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0.1N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控制箱尺寸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254 x460 x449 mm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297 x 445 x 365mm 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182x 320 x 320mm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0（控制板内置在关节中）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防护等级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IP54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IP67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IP54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IP40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编程环境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UR自有脚本语言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VAL 3 机器语言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Java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C++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价格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18w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/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/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19.8w</w:t>
            </w:r>
          </w:p>
        </w:tc>
      </w:tr>
    </w:tbl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根据以上调研表，选择机械臂型号：UR5e。可以满足</w:t>
      </w:r>
      <w:r>
        <w:rPr>
          <w:rFonts w:hint="eastAsia"/>
          <w:sz w:val="24"/>
          <w:lang w:val="en-US" w:eastAsia="zh-CN"/>
        </w:rPr>
        <w:t>产品</w:t>
      </w:r>
      <w:r>
        <w:rPr>
          <w:rFonts w:hint="eastAsia"/>
          <w:sz w:val="24"/>
        </w:rPr>
        <w:t>功能需求，且开发难度低、开发时间短、供货稳定、价格合适。</w:t>
      </w:r>
    </w:p>
    <w:p>
      <w:pPr>
        <w:pStyle w:val="5"/>
        <w:rPr>
          <w:rFonts w:asciiTheme="minorHAnsi" w:hAnsiTheme="minorHAnsi"/>
        </w:rPr>
      </w:pPr>
      <w:bookmarkStart w:id="32" w:name="_Toc141946789"/>
      <w:bookmarkStart w:id="33" w:name="_Toc5197"/>
      <w:r>
        <w:rPr>
          <w:rFonts w:hint="eastAsia"/>
        </w:rPr>
        <w:t>导航相机系统</w:t>
      </w:r>
      <w:bookmarkEnd w:id="32"/>
      <w:bookmarkEnd w:id="33"/>
    </w:p>
    <w:p>
      <w:pPr>
        <w:ind w:firstLine="420"/>
        <w:rPr>
          <w:bCs/>
          <w:sz w:val="24"/>
        </w:rPr>
      </w:pPr>
      <w:r>
        <w:rPr>
          <w:rFonts w:hint="eastAsia"/>
          <w:bCs/>
          <w:sz w:val="24"/>
        </w:rPr>
        <w:t>导航相机</w:t>
      </w:r>
      <w:r>
        <w:rPr>
          <w:rFonts w:hint="eastAsia"/>
          <w:sz w:val="24"/>
        </w:rPr>
        <w:t>可以从市场采购或者要求供应商定制</w:t>
      </w:r>
      <w:r>
        <w:rPr>
          <w:rFonts w:hint="eastAsia"/>
          <w:bCs/>
          <w:sz w:val="24"/>
        </w:rPr>
        <w:t>。</w:t>
      </w:r>
    </w:p>
    <w:p>
      <w:pPr>
        <w:pStyle w:val="6"/>
        <w:rPr>
          <w:sz w:val="24"/>
        </w:rPr>
      </w:pPr>
      <w:bookmarkStart w:id="34" w:name="_Toc141946790"/>
      <w:bookmarkStart w:id="35" w:name="_Toc26761"/>
      <w:r>
        <w:rPr>
          <w:rFonts w:hint="eastAsia"/>
          <w:sz w:val="24"/>
        </w:rPr>
        <w:t>双目相机</w:t>
      </w:r>
      <w:bookmarkEnd w:id="34"/>
      <w:bookmarkEnd w:id="35"/>
    </w:p>
    <w:p>
      <w:pPr>
        <w:numPr>
          <w:ilvl w:val="0"/>
          <w:numId w:val="13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采用红外光光学追踪相机，追踪体表标记物的方法开发独立的模块化产品。——类天玑1代、博医来。</w:t>
      </w:r>
    </w:p>
    <w:p>
      <w:pPr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137795</wp:posOffset>
                </wp:positionV>
                <wp:extent cx="690245" cy="1420495"/>
                <wp:effectExtent l="4445" t="4445" r="1016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8470" y="6799580"/>
                          <a:ext cx="690245" cy="14204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5pt;margin-top:10.85pt;height:111.85pt;width:54.35pt;z-index:251659264;v-text-anchor:middle;mso-width-relative:page;mso-height-relative:page;" filled="f" stroked="t" coordsize="21600,21600" o:gfxdata="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Q/p7PZAAAACgEAAA8AAAAAAAAAAQAgAAAAIgAA&#10;AGRycy9kb3ducmV2LnhtbFBLAQIUABQAAAAIAIdO4kCFK51/eQIAANgEAAAOAAAAAAAAAAEAIAAA&#10;ACgBAABkcnMvZTJvRG9jLnhtbFBLBQYAAAAABgAGAFkBAAATBgAAAAA=&#10;">
                <v:fill on="f" focussize="0,0"/>
                <v:stroke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1451610" cy="1451610"/>
            <wp:effectExtent l="0" t="0" r="1524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drawing>
          <wp:inline distT="0" distB="0" distL="114300" distR="114300">
            <wp:extent cx="38100" cy="76200"/>
            <wp:effectExtent l="0" t="0" r="0" b="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drawing>
          <wp:inline distT="0" distB="0" distL="114300" distR="114300">
            <wp:extent cx="38100" cy="76200"/>
            <wp:effectExtent l="0" t="0" r="0" b="0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drawing>
          <wp:inline distT="0" distB="0" distL="114300" distR="114300">
            <wp:extent cx="2301875" cy="1471295"/>
            <wp:effectExtent l="0" t="0" r="3175" b="146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drawing>
          <wp:inline distT="0" distB="0" distL="114300" distR="114300">
            <wp:extent cx="1968500" cy="2254250"/>
            <wp:effectExtent l="0" t="0" r="12700" b="1270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采用光学追踪相机，追踪体表标记物的方法开发独立的模块化产品。——类HRS Navigation、骨折复位系统</w:t>
      </w:r>
      <w:r>
        <w:rPr>
          <w:rFonts w:hint="eastAsia"/>
        </w:rPr>
        <w:t>。</w:t>
      </w:r>
    </w:p>
    <w:p>
      <w:pPr>
        <w:ind w:left="420" w:leftChars="200"/>
        <w:rPr>
          <w:sz w:val="24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2809875" cy="1510665"/>
            <wp:effectExtent l="0" t="0" r="9525" b="133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2688590</wp:posOffset>
            </wp:positionV>
            <wp:extent cx="1605280" cy="948690"/>
            <wp:effectExtent l="0" t="0" r="13970" b="3810"/>
            <wp:wrapThrough wrapText="bothSides">
              <wp:wrapPolygon>
                <wp:start x="0" y="0"/>
                <wp:lineTo x="0" y="21253"/>
                <wp:lineTo x="21275" y="21253"/>
                <wp:lineTo x="21275" y="0"/>
                <wp:lineTo x="0" y="0"/>
              </wp:wrapPolygon>
            </wp:wrapThrough>
            <wp:docPr id="32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drawing>
          <wp:inline distT="0" distB="0" distL="114300" distR="114300">
            <wp:extent cx="1605280" cy="2435860"/>
            <wp:effectExtent l="0" t="0" r="13970" b="2540"/>
            <wp:docPr id="30" name="图片 30" descr="HRS-V1-2-1-e159003854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RS-V1-2-1-e15900385422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drawing>
          <wp:inline distT="0" distB="0" distL="114300" distR="114300">
            <wp:extent cx="1628140" cy="930910"/>
            <wp:effectExtent l="0" t="0" r="10160" b="2540"/>
            <wp:docPr id="31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基于原材料成本、技术成熟度和开发时间考虑，技术上可采用</w:t>
      </w:r>
      <w:r>
        <w:rPr>
          <w:rFonts w:hint="eastAsia"/>
          <w:b/>
          <w:bCs/>
          <w:sz w:val="24"/>
        </w:rPr>
        <w:t>NDI公司的Polaris双目相机</w:t>
      </w:r>
      <w:r>
        <w:rPr>
          <w:rFonts w:hint="eastAsia"/>
          <w:sz w:val="24"/>
        </w:rPr>
        <w:t>或</w:t>
      </w:r>
      <w:r>
        <w:rPr>
          <w:rFonts w:hint="eastAsia"/>
          <w:b/>
          <w:bCs/>
          <w:sz w:val="24"/>
        </w:rPr>
        <w:t>艾目易公司的双目相机产品</w:t>
      </w:r>
      <w:r>
        <w:rPr>
          <w:rFonts w:hint="eastAsia"/>
          <w:sz w:val="24"/>
        </w:rPr>
        <w:t>。经测试，上述两款产品在成本、定位精度、稳定性上相对有优势。</w:t>
      </w:r>
    </w:p>
    <w:p>
      <w:pPr>
        <w:pStyle w:val="6"/>
        <w:rPr>
          <w:rFonts w:ascii="Cambria" w:hAnsi="Cambria" w:cs="Times New Roman"/>
          <w:bCs/>
          <w:sz w:val="24"/>
        </w:rPr>
      </w:pPr>
      <w:bookmarkStart w:id="36" w:name="_Toc141946791"/>
      <w:bookmarkStart w:id="37" w:name="_Toc29952"/>
      <w:r>
        <w:rPr>
          <w:rFonts w:hint="eastAsia" w:cs="Times New Roman"/>
          <w:bCs/>
          <w:sz w:val="24"/>
        </w:rPr>
        <w:t>定位标记</w:t>
      </w:r>
      <w:bookmarkEnd w:id="36"/>
      <w:bookmarkEnd w:id="37"/>
    </w:p>
    <w:p>
      <w:pPr>
        <w:rPr>
          <w:b/>
          <w:bCs/>
          <w:sz w:val="24"/>
        </w:rPr>
      </w:pPr>
      <w:r>
        <w:rPr>
          <w:rFonts w:hint="eastAsia"/>
          <w:sz w:val="24"/>
        </w:rPr>
        <w:t xml:space="preserve">  定位标记分为</w:t>
      </w:r>
      <w:r>
        <w:rPr>
          <w:rFonts w:hint="eastAsia"/>
          <w:b/>
          <w:bCs/>
          <w:sz w:val="24"/>
        </w:rPr>
        <w:t>机械臂标记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4"/>
        </w:rPr>
        <w:t>人体标记</w:t>
      </w:r>
      <w:r>
        <w:rPr>
          <w:rFonts w:hint="eastAsia"/>
          <w:sz w:val="24"/>
        </w:rPr>
        <w:t>与</w:t>
      </w:r>
      <w:r>
        <w:rPr>
          <w:rFonts w:hint="eastAsia"/>
          <w:b/>
          <w:bCs/>
          <w:sz w:val="24"/>
        </w:rPr>
        <w:t>器械标记。</w:t>
      </w:r>
    </w:p>
    <w:p>
      <w:pPr>
        <w:pStyle w:val="7"/>
        <w:rPr>
          <w:sz w:val="24"/>
        </w:rPr>
      </w:pPr>
      <w:r>
        <w:rPr>
          <w:rFonts w:hint="eastAsia"/>
          <w:sz w:val="24"/>
        </w:rPr>
        <w:t>机械臂标记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因机械臂在术中移动较为复杂，需考虑机械臂旋转时始终保持双目相机对标记球的追踪定位：</w:t>
      </w:r>
    </w:p>
    <w:p>
      <w:pPr>
        <w:numPr>
          <w:ilvl w:val="0"/>
          <w:numId w:val="14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机械臂标记安装在机械臂台车上，双目相机追踪定位台车位置，再由机械臂计算自身绝对位置，间接得到机械臂末端的位置。示例：Rosa One。</w:t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优势：无需设计异形标记球排列，且固定方式简单；</w:t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劣势：如机械臂自身绝对定位精度不佳，则可能术中定位误差较大。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1588770</wp:posOffset>
                </wp:positionV>
                <wp:extent cx="1318895" cy="1282065"/>
                <wp:effectExtent l="6350" t="6350" r="8255" b="698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25775" y="5139055"/>
                          <a:ext cx="1318895" cy="1282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1.55pt;margin-top:125.1pt;height:100.95pt;width:103.85pt;z-index:251661312;v-text-anchor:middle;mso-width-relative:page;mso-height-relative:page;" filled="f" stroked="t" coordsize="21600,21600" o:gfxdata="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oECaK2AAAAAsBAAAPAAAAAAAAAAEA&#10;IAAAACIAAABkcnMvZG93bnJldi54bWxQSwECFAAUAAAACACHTuJAtS11JoECAADlBAAADgAAAAAA&#10;AAABACAAAAAnAQAAZHJzL2Uyb0RvYy54bWxQSwUGAAAAAAYABgBZAQAAGg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5370830" cy="2992120"/>
            <wp:effectExtent l="0" t="0" r="1270" b="177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br w:type="page"/>
      </w:r>
    </w:p>
    <w:p>
      <w:pPr>
        <w:numPr>
          <w:ilvl w:val="0"/>
          <w:numId w:val="14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机械臂标记安装在机械臂末端，双目相机直接追踪定位机械臂末端位置。示例：天智航、globus等。</w:t>
      </w:r>
    </w:p>
    <w:p>
      <w:pPr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2961005</wp:posOffset>
                </wp:positionH>
                <wp:positionV relativeFrom="paragraph">
                  <wp:posOffset>2290445</wp:posOffset>
                </wp:positionV>
                <wp:extent cx="1384935" cy="1246505"/>
                <wp:effectExtent l="6350" t="6350" r="18415" b="234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6990" y="2805430"/>
                          <a:ext cx="1384935" cy="1246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15pt;margin-top:180.35pt;height:98.15pt;width:109.05pt;z-index:251663360;v-text-anchor:middle;mso-width-relative:page;mso-height-relative:page;" filled="f" stroked="t" coordsize="21600,21600" o:gfxdata="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nNZcPYAAAACwEAAA8AAAAAAAAAAQAgAAAAIgAA&#10;AGRycy9kb3ducmV2LnhtbFBLAQIUABQAAAAIAIdO4kCdEQIqegIAANoEAAAOAAAAAAAAAAEAIAAA&#10;ACcBAABkcnMvZTJvRG9jLnhtbFBLBQYAAAAABgAGAFkBAAAT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4858385" cy="3753485"/>
            <wp:effectExtent l="0" t="0" r="18415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优势：定位精度无需依靠机械臂自身定位精度。</w:t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劣势：需设计异形标记球排列，设计、安装有难度；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总结：机械臂台车标记物的方案导致系统精度依赖于机械臂绝对定位精度，风险较大，故采用</w:t>
      </w:r>
      <w:r>
        <w:rPr>
          <w:rFonts w:hint="eastAsia"/>
          <w:b/>
          <w:bCs/>
          <w:sz w:val="24"/>
        </w:rPr>
        <w:t>机械臂法兰端标记物</w:t>
      </w:r>
      <w:r>
        <w:rPr>
          <w:rFonts w:hint="eastAsia"/>
          <w:sz w:val="24"/>
        </w:rPr>
        <w:t>方案。</w:t>
      </w:r>
    </w:p>
    <w:p>
      <w:pPr>
        <w:rPr>
          <w:bCs/>
          <w:sz w:val="24"/>
        </w:rPr>
      </w:pPr>
      <w:r>
        <w:rPr>
          <w:rFonts w:hint="eastAsia"/>
          <w:b/>
          <w:sz w:val="24"/>
        </w:rPr>
        <w:t xml:space="preserve">   </w:t>
      </w:r>
      <w:r>
        <w:rPr>
          <w:rFonts w:hint="eastAsia"/>
          <w:bCs/>
          <w:sz w:val="24"/>
        </w:rPr>
        <w:t>需要设计一款机械臂末端的标记球，与机械臂法兰嵌套，且能保证机械臂旋转到任意角度时均可被双目相机识别。</w:t>
      </w:r>
    </w:p>
    <w:p>
      <w:pPr>
        <w:rPr>
          <w:bCs/>
          <w:sz w:val="24"/>
        </w:rPr>
      </w:pPr>
      <w:r>
        <w:rPr>
          <w:rFonts w:hint="eastAsia"/>
          <w:bCs/>
          <w:sz w:val="24"/>
        </w:rPr>
        <w:t xml:space="preserve"> </w:t>
      </w:r>
    </w:p>
    <w:p>
      <w:pPr>
        <w:ind w:firstLine="480" w:firstLineChars="200"/>
        <w:jc w:val="left"/>
        <w:rPr>
          <w:sz w:val="24"/>
        </w:rPr>
      </w:pPr>
      <w:r>
        <w:rPr>
          <w:rFonts w:hint="eastAsia"/>
          <w:sz w:val="24"/>
        </w:rPr>
        <w:t>此方案已在demo版本开发中部分实现，但是结构仍需优化。详见《</w:t>
      </w:r>
      <w:r>
        <w:rPr>
          <w:rFonts w:hint="eastAsia" w:ascii="宋体" w:hAnsi="宋体" w:cs="宋体"/>
          <w:sz w:val="24"/>
          <w:lang w:eastAsia="zh-CN"/>
        </w:rPr>
        <w:t>算法Demo验证报告</w:t>
      </w:r>
      <w:r>
        <w:rPr>
          <w:rFonts w:hint="eastAsia"/>
          <w:sz w:val="24"/>
        </w:rPr>
        <w:t>》。</w:t>
      </w:r>
    </w:p>
    <w:p>
      <w:pPr>
        <w:pStyle w:val="7"/>
        <w:rPr>
          <w:rFonts w:ascii="Times New Roman" w:hAnsi="Times New Roman" w:cs="Times New Roman"/>
          <w:bCs/>
          <w:sz w:val="24"/>
        </w:rPr>
      </w:pPr>
      <w:r>
        <w:rPr>
          <w:rFonts w:hint="eastAsia" w:cs="Times New Roman"/>
          <w:bCs/>
          <w:sz w:val="24"/>
        </w:rPr>
        <w:t>人体标记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术中需要时刻追踪监测患者体位，因此人体标记与人体连接，且标记物与人体相对位置保持固定。</w:t>
      </w:r>
    </w:p>
    <w:p>
      <w:pPr>
        <w:numPr>
          <w:ilvl w:val="0"/>
          <w:numId w:val="15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侵入式人体标记：标记物植入人体，与骨骼进行刚性连接。示例：Rosa、globus、天智航等。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978535</wp:posOffset>
                </wp:positionV>
                <wp:extent cx="1143000" cy="1040765"/>
                <wp:effectExtent l="6350" t="6350" r="12700" b="1968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1885" y="1814195"/>
                          <a:ext cx="1143000" cy="1040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3.7pt;margin-top:77.05pt;height:81.95pt;width:90pt;z-index:251664384;v-text-anchor:middle;mso-width-relative:page;mso-height-relative:page;" filled="f" stroked="t" coordsize="21600,21600" o:gfxdata="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kkCjO1wAAAAsBAAAPAAAAAAAAAAEAIAAAACIAAABk&#10;cnMvZG93bnJldi54bWxQSwECFAAUAAAACACHTuJAcjMATnkCAADaBAAADgAAAAAAAAABACAAAAAm&#10;AQAAZHJzL2Uyb0RvYy54bWxQSwUGAAAAAAYABgBZAQAAE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5102860" cy="2819400"/>
            <wp:effectExtent l="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优势：与骨骼连接，稳定性较好，无需设计异形排列的标记球。</w:t>
      </w:r>
    </w:p>
    <w:p>
      <w:pPr>
        <w:rPr>
          <w:sz w:val="24"/>
        </w:rPr>
      </w:pPr>
      <w:r>
        <w:rPr>
          <w:rFonts w:hint="eastAsia"/>
          <w:sz w:val="24"/>
        </w:rPr>
        <w:t>劣势：侵入式，对人体有损害。</w:t>
      </w:r>
    </w:p>
    <w:p>
      <w:pPr>
        <w:numPr>
          <w:ilvl w:val="0"/>
          <w:numId w:val="15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体表式人体标记：贴在患者体表，非侵入式的标记物。示例：史赛克。</w:t>
      </w:r>
    </w:p>
    <w:p>
      <w:pPr>
        <w:ind w:left="420" w:left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154295" cy="3271520"/>
            <wp:effectExtent l="0" t="0" r="8255" b="508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优势：非侵入式，对人体无损害；</w:t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劣势：开发难度大；贴在体表，与人体骨骼间可能发生相对位移；需要主动发光式的标记物。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总结：侵入式人体标记物市面上已有成熟设计，开发难度较小；非侵入式人体标记物开发难度较大。鉴于开发难度和项目周期，采用</w:t>
      </w:r>
      <w:r>
        <w:rPr>
          <w:rFonts w:hint="eastAsia"/>
          <w:b/>
          <w:bCs/>
          <w:sz w:val="24"/>
        </w:rPr>
        <w:t>侵入式人体标记物</w:t>
      </w:r>
      <w:r>
        <w:rPr>
          <w:rFonts w:hint="eastAsia"/>
          <w:sz w:val="24"/>
        </w:rPr>
        <w:t>较为适宜。</w:t>
      </w:r>
    </w:p>
    <w:p>
      <w:pPr>
        <w:pStyle w:val="7"/>
        <w:rPr>
          <w:rFonts w:ascii="Times New Roman" w:hAnsi="Times New Roman" w:cs="Times New Roman"/>
          <w:bCs/>
          <w:sz w:val="24"/>
        </w:rPr>
      </w:pPr>
      <w:r>
        <w:rPr>
          <w:rFonts w:hint="eastAsia" w:cs="Times New Roman"/>
          <w:bCs/>
          <w:sz w:val="24"/>
        </w:rPr>
        <w:t>器械标记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安装在手术器械末端的标记物，用于双目相机对器械的追踪定位。</w:t>
      </w:r>
    </w:p>
    <w:p>
      <w:pPr>
        <w:ind w:firstLine="480" w:firstLineChars="20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2717165</wp:posOffset>
                </wp:positionV>
                <wp:extent cx="960120" cy="1350010"/>
                <wp:effectExtent l="6350" t="6350" r="24130" b="1524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72765" y="6456045"/>
                          <a:ext cx="960120" cy="135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6.7pt;margin-top:213.95pt;height:106.3pt;width:75.6pt;z-index:251665408;v-text-anchor:middle;mso-width-relative:page;mso-height-relative:page;" filled="f" stroked="t" coordsize="21600,21600" o:gfxdata="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YK+LKdkAAAALAQAADwAAAAAAAAABACAAAAAiAAAA&#10;ZHJzL2Rvd25yZXYueG1sUEsBAhQAFAAAAAgAh07iQPdWq6Z4AgAA2QQAAA4AAAAAAAAAAQAgAAAA&#10;KAEAAGRycy9lMm9Eb2MueG1sUEsFBgAAAAAGAAYAWQEAABI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3406140" cy="4275455"/>
            <wp:effectExtent l="0" t="0" r="3810" b="1079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Cs/>
          <w:sz w:val="24"/>
        </w:rPr>
      </w:pPr>
    </w:p>
    <w:p>
      <w:pPr>
        <w:pStyle w:val="5"/>
        <w:rPr>
          <w:rFonts w:asciiTheme="minorHAnsi" w:hAnsiTheme="minorHAnsi"/>
        </w:rPr>
      </w:pPr>
      <w:bookmarkStart w:id="38" w:name="_Toc141946792"/>
      <w:bookmarkStart w:id="39" w:name="_Toc25206"/>
      <w:r>
        <w:rPr>
          <w:rFonts w:hint="eastAsia"/>
        </w:rPr>
        <w:t>规划与控制软件</w:t>
      </w:r>
      <w:bookmarkEnd w:id="38"/>
      <w:bookmarkEnd w:id="39"/>
    </w:p>
    <w:p>
      <w:pPr>
        <w:ind w:firstLine="420"/>
        <w:rPr>
          <w:sz w:val="24"/>
        </w:rPr>
      </w:pPr>
      <w:r>
        <w:rPr>
          <w:rFonts w:hint="eastAsia"/>
          <w:sz w:val="24"/>
        </w:rPr>
        <w:t>规划与控制软件的开发涉及UI设计、界面。</w:t>
      </w:r>
    </w:p>
    <w:p>
      <w:pPr>
        <w:pStyle w:val="6"/>
        <w:rPr>
          <w:sz w:val="24"/>
        </w:rPr>
      </w:pPr>
      <w:bookmarkStart w:id="40" w:name="_Toc141946793"/>
      <w:bookmarkStart w:id="41" w:name="_Toc4789"/>
      <w:r>
        <w:rPr>
          <w:rFonts w:hint="eastAsia"/>
          <w:sz w:val="24"/>
        </w:rPr>
        <w:t>软件工作流</w:t>
      </w:r>
      <w:bookmarkEnd w:id="40"/>
      <w:bookmarkEnd w:id="41"/>
    </w:p>
    <w:p>
      <w:pPr>
        <w:ind w:firstLine="420"/>
        <w:rPr>
          <w:sz w:val="24"/>
        </w:rPr>
      </w:pPr>
      <w:r>
        <w:rPr>
          <w:rFonts w:hint="eastAsia"/>
          <w:sz w:val="24"/>
        </w:rPr>
        <w:t>软件工作流程如下图所示：</w:t>
      </w:r>
    </w:p>
    <w:p>
      <w:pPr>
        <w:ind w:firstLine="420"/>
        <w:jc w:val="center"/>
        <w:rPr>
          <w:sz w:val="24"/>
        </w:rPr>
      </w:pPr>
      <w:r>
        <w:object>
          <v:shape id="_x0000_i1025" o:spt="75" type="#_x0000_t75" style="height:436.1pt;width:414.8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23">
            <o:LockedField>false</o:LockedField>
          </o:OLEObject>
        </w:object>
      </w:r>
    </w:p>
    <w:p>
      <w:pPr>
        <w:ind w:firstLine="720" w:firstLineChars="300"/>
        <w:rPr>
          <w:sz w:val="24"/>
        </w:rPr>
      </w:pPr>
      <w:r>
        <w:rPr>
          <w:rFonts w:hint="eastAsia"/>
          <w:sz w:val="24"/>
        </w:rPr>
        <w:t>其中的软件流程与框架，在MS-001的规划软件与导引软件的开发过程中均有技术积累，整体开发难度、时间可控。</w:t>
      </w:r>
    </w:p>
    <w:p>
      <w:pPr>
        <w:pStyle w:val="5"/>
        <w:rPr>
          <w:rFonts w:asciiTheme="minorHAnsi" w:hAnsiTheme="minorHAnsi"/>
        </w:rPr>
      </w:pPr>
      <w:bookmarkStart w:id="42" w:name="_Toc141946794"/>
      <w:bookmarkStart w:id="43" w:name="_Toc17541"/>
      <w:r>
        <w:rPr>
          <w:rFonts w:hint="eastAsia"/>
        </w:rPr>
        <w:t>配准方案</w:t>
      </w:r>
      <w:bookmarkEnd w:id="42"/>
      <w:bookmarkEnd w:id="43"/>
    </w:p>
    <w:p>
      <w:pPr>
        <w:pStyle w:val="6"/>
        <w:rPr>
          <w:sz w:val="24"/>
        </w:rPr>
      </w:pPr>
      <w:bookmarkStart w:id="44" w:name="_Toc141946795"/>
      <w:bookmarkStart w:id="45" w:name="_Toc8728"/>
      <w:r>
        <w:rPr>
          <w:rFonts w:hint="eastAsia"/>
          <w:sz w:val="24"/>
        </w:rPr>
        <w:t>CT-X光配准</w:t>
      </w:r>
      <w:bookmarkEnd w:id="44"/>
      <w:bookmarkEnd w:id="45"/>
    </w:p>
    <w:p>
      <w:pPr>
        <w:rPr>
          <w:sz w:val="24"/>
        </w:rPr>
      </w:pPr>
      <w:r>
        <w:rPr>
          <w:rFonts w:hint="eastAsia"/>
          <w:sz w:val="24"/>
        </w:rPr>
        <w:t xml:space="preserve">  此方案原理、工作流程与产品MS-001相同。</w:t>
      </w:r>
    </w:p>
    <w:p>
      <w:pPr>
        <w:numPr>
          <w:ilvl w:val="0"/>
          <w:numId w:val="16"/>
        </w:numPr>
        <w:rPr>
          <w:sz w:val="24"/>
        </w:rPr>
      </w:pPr>
      <w:r>
        <w:rPr>
          <w:rFonts w:hint="eastAsia"/>
          <w:sz w:val="24"/>
        </w:rPr>
        <w:t>针对脊柱适应症的技术方案较为成熟，无需重复开发；</w:t>
      </w:r>
    </w:p>
    <w:p>
      <w:pPr>
        <w:numPr>
          <w:ilvl w:val="0"/>
          <w:numId w:val="16"/>
        </w:numPr>
        <w:rPr>
          <w:sz w:val="24"/>
        </w:rPr>
      </w:pPr>
      <w:r>
        <w:rPr>
          <w:rFonts w:hint="eastAsia"/>
          <w:sz w:val="24"/>
        </w:rPr>
        <w:t>针对非脊柱区域的骨科适应症，需要开发非脊柱区域的自动配准方法，或仅保留手动配准方式。</w:t>
      </w:r>
    </w:p>
    <w:p>
      <w:pPr>
        <w:pStyle w:val="6"/>
        <w:rPr>
          <w:sz w:val="24"/>
        </w:rPr>
      </w:pPr>
      <w:bookmarkStart w:id="46" w:name="_Toc141946796"/>
      <w:bookmarkStart w:id="47" w:name="_Toc16453"/>
      <w:r>
        <w:rPr>
          <w:rFonts w:hint="eastAsia"/>
          <w:sz w:val="24"/>
        </w:rPr>
        <w:t>纯二维配准</w:t>
      </w:r>
      <w:bookmarkEnd w:id="46"/>
      <w:bookmarkEnd w:id="47"/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此方案无需术前CT，仅用术中X片，结合配准板、导航相机就能实现相对空间位置的计算。如下图所示：</w:t>
      </w:r>
    </w:p>
    <w:p>
      <w:pPr>
        <w:ind w:firstLine="240" w:firstLineChars="1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4057650" cy="4086225"/>
            <wp:effectExtent l="0" t="0" r="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ascii="Arial" w:hAnsi="Arial"/>
          <w:b/>
          <w:sz w:val="24"/>
        </w:rPr>
      </w:pPr>
      <w:r>
        <w:rPr>
          <w:rFonts w:hint="eastAsia"/>
          <w:sz w:val="24"/>
        </w:rPr>
        <w:t>此方案已通过demo版本验证可行，详见《</w:t>
      </w:r>
      <w:r>
        <w:rPr>
          <w:rFonts w:hint="eastAsia"/>
          <w:sz w:val="24"/>
          <w:lang w:eastAsia="zh-CN"/>
        </w:rPr>
        <w:t>算法Demo验证报告</w:t>
      </w:r>
      <w:r>
        <w:rPr>
          <w:rFonts w:hint="eastAsia"/>
          <w:sz w:val="24"/>
        </w:rPr>
        <w:t>》。</w:t>
      </w:r>
    </w:p>
    <w:p>
      <w:pPr>
        <w:pStyle w:val="5"/>
      </w:pPr>
      <w:bookmarkStart w:id="48" w:name="_Toc141946797"/>
      <w:bookmarkStart w:id="49" w:name="_Toc20795"/>
      <w:r>
        <w:rPr>
          <w:rFonts w:hint="eastAsia"/>
        </w:rPr>
        <w:t>器械工具包</w:t>
      </w:r>
      <w:bookmarkEnd w:id="48"/>
      <w:bookmarkEnd w:id="49"/>
    </w:p>
    <w:p>
      <w:pPr>
        <w:ind w:firstLine="420"/>
        <w:rPr>
          <w:bCs/>
          <w:sz w:val="24"/>
        </w:rPr>
      </w:pPr>
      <w:r>
        <w:rPr>
          <w:rFonts w:hint="eastAsia"/>
          <w:bCs/>
          <w:sz w:val="24"/>
        </w:rPr>
        <w:t>器械工具包的组成为配准板、定位器、套筒、标记球、参考架等。</w:t>
      </w:r>
    </w:p>
    <w:p>
      <w:pPr>
        <w:pStyle w:val="6"/>
        <w:rPr>
          <w:sz w:val="24"/>
        </w:rPr>
      </w:pPr>
      <w:bookmarkStart w:id="50" w:name="_Toc141946798"/>
      <w:bookmarkStart w:id="51" w:name="_Toc27475"/>
      <w:r>
        <w:rPr>
          <w:rFonts w:hint="eastAsia"/>
          <w:sz w:val="24"/>
        </w:rPr>
        <w:t>配准板</w:t>
      </w:r>
      <w:bookmarkEnd w:id="50"/>
      <w:bookmarkEnd w:id="51"/>
    </w:p>
    <w:p>
      <w:pPr>
        <w:numPr>
          <w:ilvl w:val="0"/>
          <w:numId w:val="17"/>
        </w:numPr>
        <w:rPr>
          <w:sz w:val="24"/>
        </w:rPr>
      </w:pPr>
      <w:r>
        <w:rPr>
          <w:rFonts w:hint="eastAsia"/>
          <w:sz w:val="24"/>
        </w:rPr>
        <w:t>配准板安装于机械臂末端。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医生术中手动拖动机械臂进行正侧位摆位并拍摄X片，X片同时显影配准板双层板上的钢珠球。通过钢珠球排列与人体骨骼在X片上的相对位置，计算出机械臂与患者的实际空间坐标相对关系。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此配准板方案在MS-001产品中已得到验证，易于实现。</w:t>
      </w:r>
    </w:p>
    <w:p>
      <w:pPr>
        <w:numPr>
          <w:ilvl w:val="0"/>
          <w:numId w:val="17"/>
        </w:numPr>
        <w:rPr>
          <w:sz w:val="24"/>
        </w:rPr>
      </w:pPr>
      <w:r>
        <w:rPr>
          <w:rFonts w:hint="eastAsia"/>
          <w:sz w:val="24"/>
        </w:rPr>
        <w:t>配准板安装于C臂机影增位置或平板位置。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此方案相对于机械臂末端方案，减少了拖动机械臂摆位的操作；机械臂、C臂机的相对位置由导航相机计算得出。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配准板造型如下图红框所示：</w:t>
      </w:r>
    </w:p>
    <w:p>
      <w:pPr>
        <w:ind w:firstLine="480" w:firstLineChars="20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2995930</wp:posOffset>
                </wp:positionH>
                <wp:positionV relativeFrom="paragraph">
                  <wp:posOffset>871220</wp:posOffset>
                </wp:positionV>
                <wp:extent cx="452120" cy="1815465"/>
                <wp:effectExtent l="6350" t="6350" r="17780" b="6985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5905" y="2903220"/>
                          <a:ext cx="452120" cy="1815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5.9pt;margin-top:68.6pt;height:142.95pt;width:35.6pt;z-index:251666432;v-text-anchor:middle;mso-width-relative:page;mso-height-relative:page;" filled="f" stroked="t" coordsize="21600,21600" arcsize="0.166666666666667" o:gfxdata="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WBiv+2AAAAAsB&#10;AAAPAAAAAAAAAAEAIAAAACIAAABkcnMvZG93bnJldi54bWxQSwECFAAUAAAACACHTuJA6ftdVI0C&#10;AADtBAAADgAAAAAAAAABACAAAAAnAQAAZHJzL2Uyb0RvYy54bWxQSwUGAAAAAAYABgBZAQAAJgYA&#10;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4438650" cy="3204845"/>
            <wp:effectExtent l="0" t="0" r="0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spacing w:beforeAutospacing="0" w:afterAutospacing="0"/>
        <w:ind w:firstLine="480" w:firstLineChars="200"/>
        <w:rPr>
          <w:rFonts w:cstheme="minorBidi"/>
          <w:kern w:val="2"/>
        </w:rPr>
      </w:pPr>
      <w:r>
        <w:rPr>
          <w:rFonts w:hint="eastAsia" w:cstheme="minorBidi"/>
          <w:kern w:val="2"/>
        </w:rPr>
        <w:t>此方案已经过demo版本的验证，详见《</w:t>
      </w:r>
      <w:r>
        <w:rPr>
          <w:rFonts w:hint="eastAsia" w:cstheme="minorBidi"/>
          <w:kern w:val="2"/>
          <w:lang w:eastAsia="zh-CN"/>
        </w:rPr>
        <w:t>算法Demo验证报告</w:t>
      </w:r>
      <w:r>
        <w:rPr>
          <w:rFonts w:hint="eastAsia" w:cstheme="minorBidi"/>
          <w:kern w:val="2"/>
        </w:rPr>
        <w:t>》。</w:t>
      </w:r>
    </w:p>
    <w:p>
      <w:pPr>
        <w:pStyle w:val="6"/>
        <w:rPr>
          <w:rFonts w:ascii="Arial" w:hAnsi="Arial"/>
          <w:sz w:val="24"/>
        </w:rPr>
      </w:pPr>
      <w:bookmarkStart w:id="52" w:name="_Toc141946799"/>
      <w:bookmarkStart w:id="53" w:name="_Toc18386"/>
      <w:r>
        <w:rPr>
          <w:rFonts w:hint="eastAsia"/>
          <w:sz w:val="24"/>
        </w:rPr>
        <w:t>定位器</w:t>
      </w:r>
      <w:bookmarkEnd w:id="52"/>
      <w:bookmarkEnd w:id="53"/>
    </w:p>
    <w:p>
      <w:pPr>
        <w:rPr>
          <w:sz w:val="24"/>
        </w:rPr>
      </w:pPr>
      <w:r>
        <w:rPr>
          <w:rFonts w:hint="eastAsia"/>
          <w:sz w:val="24"/>
        </w:rPr>
        <w:t xml:space="preserve">  定位器一端与机械臂末端法兰刚性连接，另一端与各型号套筒嵌套。定位器可进行高温灭菌。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定位器方案已在公司原有产品中得到充分验证，设计难度低。</w:t>
      </w:r>
    </w:p>
    <w:p>
      <w:pPr>
        <w:pStyle w:val="6"/>
        <w:rPr>
          <w:rFonts w:ascii="Arial" w:hAnsi="Arial"/>
          <w:sz w:val="24"/>
        </w:rPr>
      </w:pPr>
      <w:bookmarkStart w:id="54" w:name="_Toc141946800"/>
      <w:bookmarkStart w:id="55" w:name="_Toc15603"/>
      <w:r>
        <w:rPr>
          <w:rFonts w:hint="eastAsia"/>
          <w:sz w:val="24"/>
        </w:rPr>
        <w:t>套筒</w:t>
      </w:r>
      <w:bookmarkEnd w:id="54"/>
      <w:bookmarkEnd w:id="55"/>
    </w:p>
    <w:p>
      <w:pPr>
        <w:rPr>
          <w:bCs/>
          <w:sz w:val="24"/>
        </w:rPr>
      </w:pPr>
      <w:r>
        <w:rPr>
          <w:rFonts w:hint="eastAsia"/>
          <w:b/>
          <w:sz w:val="24"/>
        </w:rPr>
        <w:t xml:space="preserve">  </w:t>
      </w:r>
      <w:r>
        <w:rPr>
          <w:rFonts w:hint="eastAsia"/>
          <w:bCs/>
          <w:sz w:val="24"/>
        </w:rPr>
        <w:t>套筒嵌套在定位器上，形成一个进针通道；医生通过套筒进行克氏针、螺钉等器械的置入。</w:t>
      </w:r>
    </w:p>
    <w:p>
      <w:pPr>
        <w:rPr>
          <w:bCs/>
          <w:sz w:val="24"/>
        </w:rPr>
      </w:pPr>
      <w:r>
        <w:rPr>
          <w:rFonts w:hint="eastAsia"/>
          <w:bCs/>
          <w:sz w:val="24"/>
        </w:rPr>
        <w:t xml:space="preserve">  套筒涵盖多种规格，可匹配市面上常见的克氏针、螺钉；同时，套筒按长度可分为长套筒与短套筒：短套筒在术中不进入人体，仅起通道定位作用；</w:t>
      </w:r>
      <w:r>
        <w:rPr>
          <w:rFonts w:hint="eastAsia"/>
        </w:rPr>
        <w:t>而</w:t>
      </w:r>
      <w:r>
        <w:rPr>
          <w:rFonts w:hint="eastAsia"/>
          <w:bCs/>
          <w:sz w:val="24"/>
        </w:rPr>
        <w:t>长套筒末端可抵在人体骨骼表面，预防滑针等现象。</w:t>
      </w:r>
    </w:p>
    <w:p>
      <w:pPr>
        <w:rPr>
          <w:bCs/>
          <w:sz w:val="24"/>
        </w:rPr>
      </w:pPr>
      <w:r>
        <w:rPr>
          <w:rFonts w:hint="eastAsia"/>
          <w:bCs/>
          <w:sz w:val="24"/>
        </w:rPr>
        <w:t xml:space="preserve">  套筒</w:t>
      </w:r>
      <w:r>
        <w:rPr>
          <w:rFonts w:hint="eastAsia"/>
          <w:sz w:val="24"/>
        </w:rPr>
        <w:t>方案已在公司原有产品中得到充分验证，设计难度低。</w:t>
      </w:r>
    </w:p>
    <w:p>
      <w:pPr>
        <w:pStyle w:val="6"/>
        <w:rPr>
          <w:sz w:val="24"/>
        </w:rPr>
      </w:pPr>
      <w:bookmarkStart w:id="56" w:name="_Toc141946801"/>
      <w:bookmarkStart w:id="57" w:name="_Toc23782"/>
      <w:r>
        <w:rPr>
          <w:rFonts w:hint="eastAsia"/>
          <w:sz w:val="24"/>
        </w:rPr>
        <w:t>标记球和参考架</w:t>
      </w:r>
      <w:bookmarkEnd w:id="56"/>
      <w:bookmarkEnd w:id="57"/>
    </w:p>
    <w:p>
      <w:pPr>
        <w:rPr>
          <w:bCs/>
          <w:sz w:val="24"/>
        </w:rPr>
      </w:pPr>
      <w:r>
        <w:rPr>
          <w:rFonts w:hint="eastAsia"/>
          <w:bCs/>
          <w:sz w:val="24"/>
        </w:rPr>
        <w:t>见本文《3.3.2.定位标记》。</w:t>
      </w:r>
    </w:p>
    <w:p>
      <w:pPr>
        <w:pStyle w:val="5"/>
        <w:rPr>
          <w:rFonts w:asciiTheme="minorHAnsi" w:hAnsiTheme="minorHAnsi"/>
        </w:rPr>
      </w:pPr>
      <w:bookmarkStart w:id="58" w:name="_Toc141946802"/>
      <w:bookmarkStart w:id="59" w:name="_Toc24954"/>
      <w:r>
        <w:rPr>
          <w:rFonts w:hint="eastAsia"/>
        </w:rPr>
        <w:t>关键技术</w:t>
      </w:r>
      <w:bookmarkEnd w:id="58"/>
      <w:bookmarkEnd w:id="59"/>
    </w:p>
    <w:tbl>
      <w:tblPr>
        <w:tblStyle w:val="19"/>
        <w:tblW w:w="94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0"/>
        <w:gridCol w:w="1330"/>
        <w:gridCol w:w="3523"/>
        <w:gridCol w:w="4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4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序号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项目</w:t>
            </w:r>
          </w:p>
        </w:tc>
        <w:tc>
          <w:tcPr>
            <w:tcW w:w="3523" w:type="dxa"/>
            <w:vAlign w:val="center"/>
          </w:tcPr>
          <w:p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关键技术</w:t>
            </w:r>
          </w:p>
        </w:tc>
        <w:tc>
          <w:tcPr>
            <w:tcW w:w="4046" w:type="dxa"/>
            <w:vAlign w:val="center"/>
          </w:tcPr>
          <w:p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4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cs="Times New Roman"/>
                <w:sz w:val="24"/>
              </w:rPr>
              <w:t>CT-X片</w:t>
            </w:r>
            <w:r>
              <w:rPr>
                <w:rFonts w:hint="eastAsia"/>
                <w:sz w:val="24"/>
              </w:rPr>
              <w:t>配准</w:t>
            </w:r>
          </w:p>
        </w:tc>
        <w:tc>
          <w:tcPr>
            <w:tcW w:w="352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cs="Times New Roman"/>
                <w:sz w:val="24"/>
              </w:rPr>
              <w:t>非脊柱区域的自动配准算法</w:t>
            </w:r>
          </w:p>
        </w:tc>
        <w:tc>
          <w:tcPr>
            <w:tcW w:w="4046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现有MS-001配准方案改良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CT处理</w:t>
            </w:r>
          </w:p>
        </w:tc>
        <w:tc>
          <w:tcPr>
            <w:tcW w:w="35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CT的半自动分割</w:t>
            </w:r>
          </w:p>
        </w:tc>
        <w:tc>
          <w:tcPr>
            <w:tcW w:w="4046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区域生长算法；已有原型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纯二维配准</w:t>
            </w:r>
          </w:p>
        </w:tc>
        <w:tc>
          <w:tcPr>
            <w:tcW w:w="352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多张二维X光图像的3D定位技术</w:t>
            </w:r>
          </w:p>
        </w:tc>
        <w:tc>
          <w:tcPr>
            <w:tcW w:w="404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已在demo版本上实现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手眼标定</w:t>
            </w:r>
          </w:p>
        </w:tc>
        <w:tc>
          <w:tcPr>
            <w:tcW w:w="352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基于双目相机的空间位置计算与追踪导航</w:t>
            </w:r>
          </w:p>
        </w:tc>
        <w:tc>
          <w:tcPr>
            <w:tcW w:w="404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已在demo版本上实现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机械臂控制</w:t>
            </w:r>
          </w:p>
        </w:tc>
        <w:tc>
          <w:tcPr>
            <w:tcW w:w="352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对控制软件的二次开发</w:t>
            </w:r>
          </w:p>
        </w:tc>
        <w:tc>
          <w:tcPr>
            <w:tcW w:w="404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沿用原有MS-001使用的机械臂，已有开发经验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X片处理</w:t>
            </w:r>
          </w:p>
        </w:tc>
        <w:tc>
          <w:tcPr>
            <w:tcW w:w="35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X光图像的畸变校准</w:t>
            </w:r>
          </w:p>
        </w:tc>
        <w:tc>
          <w:tcPr>
            <w:tcW w:w="404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cs="Times New Roman"/>
                <w:sz w:val="24"/>
              </w:rPr>
              <w:t>已有矫正算法；进行优化</w:t>
            </w:r>
          </w:p>
        </w:tc>
      </w:tr>
    </w:tbl>
    <w:p>
      <w:pPr>
        <w:pStyle w:val="2"/>
        <w:ind w:left="1470" w:right="1470"/>
        <w:rPr>
          <w:rFonts w:hint="eastAsia"/>
          <w:sz w:val="24"/>
        </w:rPr>
      </w:pPr>
    </w:p>
    <w:p>
      <w:pPr>
        <w:pStyle w:val="5"/>
        <w:rPr>
          <w:rFonts w:ascii="宋体" w:hAnsi="宋体" w:cs="宋体"/>
        </w:rPr>
      </w:pPr>
      <w:bookmarkStart w:id="60" w:name="_Toc141946803"/>
      <w:bookmarkStart w:id="61" w:name="_Toc16164"/>
      <w:r>
        <w:rPr>
          <w:rFonts w:hint="eastAsia"/>
        </w:rPr>
        <w:t>技术可行性分析小结</w:t>
      </w:r>
      <w:bookmarkEnd w:id="27"/>
      <w:bookmarkEnd w:id="60"/>
      <w:bookmarkEnd w:id="61"/>
    </w:p>
    <w:p>
      <w:pPr>
        <w:ind w:firstLine="420"/>
      </w:pPr>
      <w:r>
        <w:rPr>
          <w:rFonts w:hint="eastAsia" w:ascii="宋体" w:hAnsi="宋体" w:cs="宋体"/>
          <w:sz w:val="24"/>
        </w:rPr>
        <w:t>本项目所涉及的技术均在技术可控范围之内，也在公司技术团队目前的技术能力范围之内，因此本项目从技术实现方面是可行</w:t>
      </w:r>
      <w:bookmarkStart w:id="62" w:name="_Toc31853"/>
      <w:r>
        <w:rPr>
          <w:rFonts w:hint="eastAsia" w:ascii="宋体" w:hAnsi="宋体" w:cs="宋体"/>
          <w:sz w:val="24"/>
        </w:rPr>
        <w:t>的。</w:t>
      </w:r>
      <w:bookmarkEnd w:id="62"/>
    </w:p>
    <w:p>
      <w:pPr>
        <w:pStyle w:val="3"/>
        <w:jc w:val="left"/>
      </w:pPr>
      <w:bookmarkStart w:id="63" w:name="_Toc141946804"/>
      <w:bookmarkStart w:id="64" w:name="_Toc23017"/>
      <w:r>
        <w:rPr>
          <w:rFonts w:hint="eastAsia"/>
        </w:rPr>
        <w:t>引用</w:t>
      </w:r>
      <w:bookmarkEnd w:id="63"/>
      <w:bookmarkEnd w:id="64"/>
    </w:p>
    <w:p>
      <w:r>
        <w:rPr>
          <w:rFonts w:hint="eastAsia"/>
          <w:sz w:val="24"/>
        </w:rPr>
        <w:t>《</w:t>
      </w:r>
      <w:r>
        <w:rPr>
          <w:rFonts w:hint="eastAsia"/>
          <w:sz w:val="24"/>
          <w:lang w:val="en-US" w:eastAsia="zh-CN"/>
        </w:rPr>
        <w:t>算法</w:t>
      </w:r>
      <w:r>
        <w:rPr>
          <w:rFonts w:hint="eastAsia"/>
          <w:sz w:val="24"/>
        </w:rPr>
        <w:t>Demo验证报告》</w:t>
      </w:r>
    </w:p>
    <w:sectPr>
      <w:headerReference r:id="rId6" w:type="default"/>
      <w:footerReference r:id="rId7" w:type="default"/>
      <w:pgSz w:w="11906" w:h="16838"/>
      <w:pgMar w:top="1417" w:right="1800" w:bottom="850" w:left="1800" w:header="851" w:footer="283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8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left" w:pos="3013"/>
        <w:tab w:val="clear" w:pos="4153"/>
      </w:tabs>
    </w:pP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left" w:pos="3013"/>
        <w:tab w:val="clear" w:pos="4153"/>
      </w:tabs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5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</w:rPr>
                      <w:t>3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spacing w:before="120" w:after="120"/>
      <w:jc w:val="right"/>
      <w:rPr>
        <w:rFonts w:ascii="宋体" w:hAnsi="宋体" w:cs="宋体"/>
        <w:sz w:val="15"/>
        <w:szCs w:val="21"/>
      </w:rPr>
    </w:pPr>
    <w:r>
      <w:rPr>
        <w:rFonts w:hint="eastAsia" w:ascii="宋体" w:hAnsi="宋体" w:cs="宋体"/>
        <w:sz w:val="20"/>
        <w:szCs w:val="18"/>
      </w:rPr>
      <w:t>杭州三坛医疗科技有限公司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50EA97"/>
    <w:multiLevelType w:val="singleLevel"/>
    <w:tmpl w:val="9750EA9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22D3B2C"/>
    <w:multiLevelType w:val="singleLevel"/>
    <w:tmpl w:val="A22D3B2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AFA72597"/>
    <w:multiLevelType w:val="singleLevel"/>
    <w:tmpl w:val="AFA7259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E415FFA8"/>
    <w:multiLevelType w:val="singleLevel"/>
    <w:tmpl w:val="E415FFA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F0017053"/>
    <w:multiLevelType w:val="multilevel"/>
    <w:tmpl w:val="F0017053"/>
    <w:lvl w:ilvl="0" w:tentative="0">
      <w:start w:val="1"/>
      <w:numFmt w:val="decimal"/>
      <w:pStyle w:val="3"/>
      <w:isLgl/>
      <w:lvlText w:val="%1.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5"/>
      <w:isLgl/>
      <w:lvlText w:val="%1.%2."/>
      <w:lvlJc w:val="left"/>
      <w:pPr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6"/>
      <w:isLgl/>
      <w:lvlText w:val="%1.%2.%3."/>
      <w:lvlJc w:val="left"/>
      <w:pPr>
        <w:ind w:left="720" w:hanging="720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7"/>
      <w:isLgl/>
      <w:lvlText w:val="%1.%2.%3.%4."/>
      <w:lvlJc w:val="left"/>
      <w:pPr>
        <w:ind w:left="864" w:hanging="864"/>
      </w:pPr>
      <w:rPr>
        <w:rFonts w:hint="eastAsia" w:ascii="宋体" w:hAnsi="宋体" w:eastAsia="宋体" w:cs="宋体"/>
      </w:rPr>
    </w:lvl>
    <w:lvl w:ilvl="4" w:tentative="0">
      <w:start w:val="1"/>
      <w:numFmt w:val="decimal"/>
      <w:pStyle w:val="8"/>
      <w:isLgl/>
      <w:lvlText w:val="%1.%2.%3.%4.%5."/>
      <w:lvlJc w:val="left"/>
      <w:pPr>
        <w:ind w:left="1008" w:hanging="1008"/>
      </w:pPr>
      <w:rPr>
        <w:rFonts w:hint="eastAsia" w:ascii="宋体" w:hAnsi="宋体" w:eastAsia="宋体" w:cs="宋体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5">
    <w:nsid w:val="F4AF5FF6"/>
    <w:multiLevelType w:val="singleLevel"/>
    <w:tmpl w:val="F4AF5FF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033635A8"/>
    <w:multiLevelType w:val="singleLevel"/>
    <w:tmpl w:val="033635A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1EF1DDC9"/>
    <w:multiLevelType w:val="singleLevel"/>
    <w:tmpl w:val="1EF1DDC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2AC2CEA7"/>
    <w:multiLevelType w:val="singleLevel"/>
    <w:tmpl w:val="2AC2CEA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36AB7D2A"/>
    <w:multiLevelType w:val="singleLevel"/>
    <w:tmpl w:val="36AB7D2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  <w:b w:val="0"/>
        <w:bCs w:val="0"/>
      </w:rPr>
    </w:lvl>
  </w:abstractNum>
  <w:abstractNum w:abstractNumId="10">
    <w:nsid w:val="3D0FE0B4"/>
    <w:multiLevelType w:val="singleLevel"/>
    <w:tmpl w:val="3D0FE0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4761E61F"/>
    <w:multiLevelType w:val="singleLevel"/>
    <w:tmpl w:val="4761E61F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12">
    <w:nsid w:val="4B9E9824"/>
    <w:multiLevelType w:val="singleLevel"/>
    <w:tmpl w:val="4B9E982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3">
    <w:nsid w:val="4C3C6FD7"/>
    <w:multiLevelType w:val="singleLevel"/>
    <w:tmpl w:val="4C3C6FD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76A6724B"/>
    <w:multiLevelType w:val="singleLevel"/>
    <w:tmpl w:val="76A6724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76EC99D0"/>
    <w:multiLevelType w:val="singleLevel"/>
    <w:tmpl w:val="76EC99D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7939A342"/>
    <w:multiLevelType w:val="singleLevel"/>
    <w:tmpl w:val="7939A34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11"/>
  </w:num>
  <w:num w:numId="3">
    <w:abstractNumId w:val="12"/>
  </w:num>
  <w:num w:numId="4">
    <w:abstractNumId w:val="9"/>
  </w:num>
  <w:num w:numId="5">
    <w:abstractNumId w:val="3"/>
  </w:num>
  <w:num w:numId="6">
    <w:abstractNumId w:val="10"/>
  </w:num>
  <w:num w:numId="7">
    <w:abstractNumId w:val="16"/>
  </w:num>
  <w:num w:numId="8">
    <w:abstractNumId w:val="6"/>
  </w:num>
  <w:num w:numId="9">
    <w:abstractNumId w:val="14"/>
  </w:num>
  <w:num w:numId="10">
    <w:abstractNumId w:val="5"/>
  </w:num>
  <w:num w:numId="11">
    <w:abstractNumId w:val="0"/>
  </w:num>
  <w:num w:numId="12">
    <w:abstractNumId w:val="1"/>
  </w:num>
  <w:num w:numId="13">
    <w:abstractNumId w:val="13"/>
  </w:num>
  <w:num w:numId="14">
    <w:abstractNumId w:val="15"/>
  </w:num>
  <w:num w:numId="15">
    <w:abstractNumId w:val="7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90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78B236E4"/>
    <w:rsid w:val="00124A6E"/>
    <w:rsid w:val="001434AE"/>
    <w:rsid w:val="0014598F"/>
    <w:rsid w:val="001935F6"/>
    <w:rsid w:val="001946F8"/>
    <w:rsid w:val="001C1D89"/>
    <w:rsid w:val="001F2A0C"/>
    <w:rsid w:val="00297AA4"/>
    <w:rsid w:val="002E2EC5"/>
    <w:rsid w:val="002F0BCB"/>
    <w:rsid w:val="00422CCB"/>
    <w:rsid w:val="00441D8F"/>
    <w:rsid w:val="0048313C"/>
    <w:rsid w:val="004D50BF"/>
    <w:rsid w:val="005C06F7"/>
    <w:rsid w:val="006D188D"/>
    <w:rsid w:val="006E44AA"/>
    <w:rsid w:val="00785AF8"/>
    <w:rsid w:val="00790A77"/>
    <w:rsid w:val="00796DA9"/>
    <w:rsid w:val="00863B3C"/>
    <w:rsid w:val="00911E80"/>
    <w:rsid w:val="009576A3"/>
    <w:rsid w:val="00974A33"/>
    <w:rsid w:val="00BE7755"/>
    <w:rsid w:val="00C32871"/>
    <w:rsid w:val="00CE6677"/>
    <w:rsid w:val="00D122CF"/>
    <w:rsid w:val="00D5438B"/>
    <w:rsid w:val="00D764CD"/>
    <w:rsid w:val="00D95CE8"/>
    <w:rsid w:val="00D96D10"/>
    <w:rsid w:val="00DA3665"/>
    <w:rsid w:val="00E32431"/>
    <w:rsid w:val="00E9370E"/>
    <w:rsid w:val="00ED2294"/>
    <w:rsid w:val="00F954FE"/>
    <w:rsid w:val="016C54D3"/>
    <w:rsid w:val="01FA13DA"/>
    <w:rsid w:val="024F0FE5"/>
    <w:rsid w:val="02644ACE"/>
    <w:rsid w:val="02B46023"/>
    <w:rsid w:val="03297D65"/>
    <w:rsid w:val="034448B1"/>
    <w:rsid w:val="03E265B7"/>
    <w:rsid w:val="04017AEE"/>
    <w:rsid w:val="040C4DF6"/>
    <w:rsid w:val="046E5030"/>
    <w:rsid w:val="04A62124"/>
    <w:rsid w:val="04C34FD7"/>
    <w:rsid w:val="052B1DAC"/>
    <w:rsid w:val="055B7815"/>
    <w:rsid w:val="05A50F26"/>
    <w:rsid w:val="05C443A6"/>
    <w:rsid w:val="05CF7581"/>
    <w:rsid w:val="069E79AE"/>
    <w:rsid w:val="06AA7820"/>
    <w:rsid w:val="07277DC1"/>
    <w:rsid w:val="078B6266"/>
    <w:rsid w:val="07C1352D"/>
    <w:rsid w:val="07F618A1"/>
    <w:rsid w:val="080A4381"/>
    <w:rsid w:val="081345FF"/>
    <w:rsid w:val="08384184"/>
    <w:rsid w:val="084E00A2"/>
    <w:rsid w:val="086F62AC"/>
    <w:rsid w:val="088A3A5D"/>
    <w:rsid w:val="08CC46A8"/>
    <w:rsid w:val="08E05A55"/>
    <w:rsid w:val="08F2252A"/>
    <w:rsid w:val="096D4659"/>
    <w:rsid w:val="09C24AB1"/>
    <w:rsid w:val="0A592F8E"/>
    <w:rsid w:val="0A6B36CC"/>
    <w:rsid w:val="0A9050AB"/>
    <w:rsid w:val="0ADC48C1"/>
    <w:rsid w:val="0B3E0BC1"/>
    <w:rsid w:val="0B4A3021"/>
    <w:rsid w:val="0B7329D5"/>
    <w:rsid w:val="0C321EED"/>
    <w:rsid w:val="0CB101B0"/>
    <w:rsid w:val="0D0C35C8"/>
    <w:rsid w:val="0D380D3F"/>
    <w:rsid w:val="0D527A10"/>
    <w:rsid w:val="0E556C7C"/>
    <w:rsid w:val="0F074CB3"/>
    <w:rsid w:val="10A12DA0"/>
    <w:rsid w:val="10D42B47"/>
    <w:rsid w:val="10E5406E"/>
    <w:rsid w:val="10E94FD6"/>
    <w:rsid w:val="114373F0"/>
    <w:rsid w:val="125E7D63"/>
    <w:rsid w:val="12747795"/>
    <w:rsid w:val="128812A8"/>
    <w:rsid w:val="129F74D2"/>
    <w:rsid w:val="12A56119"/>
    <w:rsid w:val="12C845D2"/>
    <w:rsid w:val="13006730"/>
    <w:rsid w:val="13032AF5"/>
    <w:rsid w:val="1335462F"/>
    <w:rsid w:val="147B08C0"/>
    <w:rsid w:val="156D23CE"/>
    <w:rsid w:val="15E70F70"/>
    <w:rsid w:val="167B7EF6"/>
    <w:rsid w:val="175A2C97"/>
    <w:rsid w:val="17D1199B"/>
    <w:rsid w:val="17FB2AC6"/>
    <w:rsid w:val="181A7D84"/>
    <w:rsid w:val="18802AD2"/>
    <w:rsid w:val="188D7B0A"/>
    <w:rsid w:val="189B6A98"/>
    <w:rsid w:val="18A41277"/>
    <w:rsid w:val="19463EBC"/>
    <w:rsid w:val="19CC39A7"/>
    <w:rsid w:val="1A67359E"/>
    <w:rsid w:val="1B437276"/>
    <w:rsid w:val="1B735888"/>
    <w:rsid w:val="1B92395D"/>
    <w:rsid w:val="1B936233"/>
    <w:rsid w:val="1BA621E5"/>
    <w:rsid w:val="1BB97A6F"/>
    <w:rsid w:val="1BC304C3"/>
    <w:rsid w:val="1BD637DA"/>
    <w:rsid w:val="1C760F74"/>
    <w:rsid w:val="1C9F2620"/>
    <w:rsid w:val="1D3D5209"/>
    <w:rsid w:val="1D5641A2"/>
    <w:rsid w:val="1DD673C7"/>
    <w:rsid w:val="1DF931F9"/>
    <w:rsid w:val="1E1D1958"/>
    <w:rsid w:val="1E7D4F11"/>
    <w:rsid w:val="1F1B3E9A"/>
    <w:rsid w:val="1FA6578D"/>
    <w:rsid w:val="1FBC1753"/>
    <w:rsid w:val="1FFF15FC"/>
    <w:rsid w:val="20277F2B"/>
    <w:rsid w:val="205E01F7"/>
    <w:rsid w:val="205E385B"/>
    <w:rsid w:val="205F329E"/>
    <w:rsid w:val="20AB7A2C"/>
    <w:rsid w:val="21790B09"/>
    <w:rsid w:val="21D17E2A"/>
    <w:rsid w:val="21EE3F4D"/>
    <w:rsid w:val="221F2BF5"/>
    <w:rsid w:val="23062DF6"/>
    <w:rsid w:val="230C7C67"/>
    <w:rsid w:val="2367633A"/>
    <w:rsid w:val="23B534A8"/>
    <w:rsid w:val="247B0979"/>
    <w:rsid w:val="24C329D7"/>
    <w:rsid w:val="254421CD"/>
    <w:rsid w:val="255E2779"/>
    <w:rsid w:val="25703F43"/>
    <w:rsid w:val="25922C59"/>
    <w:rsid w:val="25DA22AA"/>
    <w:rsid w:val="25F40CF0"/>
    <w:rsid w:val="260904AD"/>
    <w:rsid w:val="26440F9D"/>
    <w:rsid w:val="26AD3383"/>
    <w:rsid w:val="26F54A6D"/>
    <w:rsid w:val="270E3C88"/>
    <w:rsid w:val="272B0DAC"/>
    <w:rsid w:val="27434EF3"/>
    <w:rsid w:val="276E54BF"/>
    <w:rsid w:val="27986A1A"/>
    <w:rsid w:val="285C15FF"/>
    <w:rsid w:val="29601DB4"/>
    <w:rsid w:val="29CC4423"/>
    <w:rsid w:val="2A646222"/>
    <w:rsid w:val="2A763AE2"/>
    <w:rsid w:val="2ABE5375"/>
    <w:rsid w:val="2B6059C2"/>
    <w:rsid w:val="2C05021B"/>
    <w:rsid w:val="2C9921DB"/>
    <w:rsid w:val="2CB8519E"/>
    <w:rsid w:val="2CCC18A4"/>
    <w:rsid w:val="2D5D1B7D"/>
    <w:rsid w:val="2DE10445"/>
    <w:rsid w:val="2E553B6B"/>
    <w:rsid w:val="2E587779"/>
    <w:rsid w:val="2E781932"/>
    <w:rsid w:val="2F532964"/>
    <w:rsid w:val="2F5D3FE0"/>
    <w:rsid w:val="2F7A2B63"/>
    <w:rsid w:val="2FA63A68"/>
    <w:rsid w:val="305A1EE2"/>
    <w:rsid w:val="309D4424"/>
    <w:rsid w:val="30BB38CF"/>
    <w:rsid w:val="312F2367"/>
    <w:rsid w:val="319A44C6"/>
    <w:rsid w:val="322531EA"/>
    <w:rsid w:val="32B65A11"/>
    <w:rsid w:val="33740094"/>
    <w:rsid w:val="33B35C7F"/>
    <w:rsid w:val="341F19EA"/>
    <w:rsid w:val="341F4760"/>
    <w:rsid w:val="342C28E2"/>
    <w:rsid w:val="345B0B2D"/>
    <w:rsid w:val="3481663B"/>
    <w:rsid w:val="35033694"/>
    <w:rsid w:val="352A46F1"/>
    <w:rsid w:val="364A6774"/>
    <w:rsid w:val="366A584F"/>
    <w:rsid w:val="366E62B0"/>
    <w:rsid w:val="37197283"/>
    <w:rsid w:val="371E08A0"/>
    <w:rsid w:val="37612E17"/>
    <w:rsid w:val="379165A8"/>
    <w:rsid w:val="37B65F00"/>
    <w:rsid w:val="37D0077B"/>
    <w:rsid w:val="382F1CF1"/>
    <w:rsid w:val="391564FA"/>
    <w:rsid w:val="39B8350E"/>
    <w:rsid w:val="39DB0AB5"/>
    <w:rsid w:val="3A2C1654"/>
    <w:rsid w:val="3A877C9B"/>
    <w:rsid w:val="3A891E28"/>
    <w:rsid w:val="3AE433E0"/>
    <w:rsid w:val="3B553A41"/>
    <w:rsid w:val="3BDA456E"/>
    <w:rsid w:val="3BE97CC4"/>
    <w:rsid w:val="3CB560E5"/>
    <w:rsid w:val="3DB736FB"/>
    <w:rsid w:val="3DE10366"/>
    <w:rsid w:val="3EBC2DD4"/>
    <w:rsid w:val="3F1E4729"/>
    <w:rsid w:val="3F2B4724"/>
    <w:rsid w:val="402F7206"/>
    <w:rsid w:val="40904B97"/>
    <w:rsid w:val="409C2C97"/>
    <w:rsid w:val="40EB18A2"/>
    <w:rsid w:val="410357D6"/>
    <w:rsid w:val="41604E5E"/>
    <w:rsid w:val="41767B27"/>
    <w:rsid w:val="420E6497"/>
    <w:rsid w:val="421B269C"/>
    <w:rsid w:val="421D0D78"/>
    <w:rsid w:val="42784CF1"/>
    <w:rsid w:val="42B34675"/>
    <w:rsid w:val="430F72B9"/>
    <w:rsid w:val="433F38F3"/>
    <w:rsid w:val="434C4C63"/>
    <w:rsid w:val="43566303"/>
    <w:rsid w:val="44CE4BF7"/>
    <w:rsid w:val="44D53493"/>
    <w:rsid w:val="44DD0D21"/>
    <w:rsid w:val="44DF1658"/>
    <w:rsid w:val="45110EDD"/>
    <w:rsid w:val="45701AF9"/>
    <w:rsid w:val="458A240E"/>
    <w:rsid w:val="45AB47BF"/>
    <w:rsid w:val="461F7ADD"/>
    <w:rsid w:val="46475912"/>
    <w:rsid w:val="46CE4AD7"/>
    <w:rsid w:val="46D463F9"/>
    <w:rsid w:val="46F24DA7"/>
    <w:rsid w:val="47356D0C"/>
    <w:rsid w:val="478E24F1"/>
    <w:rsid w:val="482B1405"/>
    <w:rsid w:val="484D0E76"/>
    <w:rsid w:val="48AE6DBB"/>
    <w:rsid w:val="49327479"/>
    <w:rsid w:val="49530211"/>
    <w:rsid w:val="497225BE"/>
    <w:rsid w:val="49780F22"/>
    <w:rsid w:val="4A7F3916"/>
    <w:rsid w:val="4A843FE8"/>
    <w:rsid w:val="4A8C54D9"/>
    <w:rsid w:val="4A9420A9"/>
    <w:rsid w:val="4AB272C6"/>
    <w:rsid w:val="4B5A4478"/>
    <w:rsid w:val="4B8B07CC"/>
    <w:rsid w:val="4BB366FF"/>
    <w:rsid w:val="4C4C63B0"/>
    <w:rsid w:val="4C5B169D"/>
    <w:rsid w:val="4C811E19"/>
    <w:rsid w:val="4C9436FB"/>
    <w:rsid w:val="4CBC7904"/>
    <w:rsid w:val="4D252034"/>
    <w:rsid w:val="4D454A82"/>
    <w:rsid w:val="4D564B28"/>
    <w:rsid w:val="4D8B0E20"/>
    <w:rsid w:val="4DAA171B"/>
    <w:rsid w:val="4DF166CB"/>
    <w:rsid w:val="4EF318A9"/>
    <w:rsid w:val="4F2C6405"/>
    <w:rsid w:val="4F7C1025"/>
    <w:rsid w:val="500357DD"/>
    <w:rsid w:val="503A7CA6"/>
    <w:rsid w:val="518567A4"/>
    <w:rsid w:val="52216DA0"/>
    <w:rsid w:val="522A6EE1"/>
    <w:rsid w:val="528F669B"/>
    <w:rsid w:val="52930039"/>
    <w:rsid w:val="52A34795"/>
    <w:rsid w:val="53965925"/>
    <w:rsid w:val="53BB779E"/>
    <w:rsid w:val="53BD410E"/>
    <w:rsid w:val="53D852B7"/>
    <w:rsid w:val="5439027B"/>
    <w:rsid w:val="543A208E"/>
    <w:rsid w:val="545C1A2C"/>
    <w:rsid w:val="54F17C15"/>
    <w:rsid w:val="550E35A1"/>
    <w:rsid w:val="555C28EF"/>
    <w:rsid w:val="55FC1EE9"/>
    <w:rsid w:val="56163D92"/>
    <w:rsid w:val="561A2F91"/>
    <w:rsid w:val="565B1404"/>
    <w:rsid w:val="56C009A8"/>
    <w:rsid w:val="56EA256B"/>
    <w:rsid w:val="56FF14CD"/>
    <w:rsid w:val="57CC782E"/>
    <w:rsid w:val="58137D81"/>
    <w:rsid w:val="5865469B"/>
    <w:rsid w:val="58816B19"/>
    <w:rsid w:val="59306615"/>
    <w:rsid w:val="5A025989"/>
    <w:rsid w:val="5A2B0BEF"/>
    <w:rsid w:val="5A8E2ADE"/>
    <w:rsid w:val="5AEE52D7"/>
    <w:rsid w:val="5B003CD4"/>
    <w:rsid w:val="5BC561D6"/>
    <w:rsid w:val="5BCA30C3"/>
    <w:rsid w:val="5BD63961"/>
    <w:rsid w:val="5BDB1642"/>
    <w:rsid w:val="5D3B664E"/>
    <w:rsid w:val="5DA434BC"/>
    <w:rsid w:val="5DD9774E"/>
    <w:rsid w:val="5DE66450"/>
    <w:rsid w:val="5E4F2660"/>
    <w:rsid w:val="5F6E22A2"/>
    <w:rsid w:val="5FB81FB6"/>
    <w:rsid w:val="60000CA9"/>
    <w:rsid w:val="60122B4D"/>
    <w:rsid w:val="601C359E"/>
    <w:rsid w:val="602A2F5B"/>
    <w:rsid w:val="606D5FB1"/>
    <w:rsid w:val="609947F5"/>
    <w:rsid w:val="60CD46DB"/>
    <w:rsid w:val="60DC4E7C"/>
    <w:rsid w:val="60E46730"/>
    <w:rsid w:val="610261E1"/>
    <w:rsid w:val="619C4546"/>
    <w:rsid w:val="628F10F4"/>
    <w:rsid w:val="62B349CA"/>
    <w:rsid w:val="62E56DB6"/>
    <w:rsid w:val="631F1BA2"/>
    <w:rsid w:val="63535A90"/>
    <w:rsid w:val="635822A8"/>
    <w:rsid w:val="64277DC1"/>
    <w:rsid w:val="64410A44"/>
    <w:rsid w:val="64736857"/>
    <w:rsid w:val="647C173C"/>
    <w:rsid w:val="65332964"/>
    <w:rsid w:val="654D3682"/>
    <w:rsid w:val="66230C2D"/>
    <w:rsid w:val="66C52B61"/>
    <w:rsid w:val="66D43EF0"/>
    <w:rsid w:val="66DE1A30"/>
    <w:rsid w:val="66E439BA"/>
    <w:rsid w:val="66EA7BAB"/>
    <w:rsid w:val="671913F3"/>
    <w:rsid w:val="67480B37"/>
    <w:rsid w:val="674F255E"/>
    <w:rsid w:val="6776250C"/>
    <w:rsid w:val="678B12D6"/>
    <w:rsid w:val="68FB232C"/>
    <w:rsid w:val="691A570F"/>
    <w:rsid w:val="6A573DD0"/>
    <w:rsid w:val="6AF718ED"/>
    <w:rsid w:val="6AF96E1A"/>
    <w:rsid w:val="6B354C0E"/>
    <w:rsid w:val="6B5A5D8D"/>
    <w:rsid w:val="6BA76567"/>
    <w:rsid w:val="6C6D7F8A"/>
    <w:rsid w:val="6CE063D3"/>
    <w:rsid w:val="6CE4201D"/>
    <w:rsid w:val="6D5F31A0"/>
    <w:rsid w:val="6D634395"/>
    <w:rsid w:val="6D976FEF"/>
    <w:rsid w:val="6DA87F98"/>
    <w:rsid w:val="6DC44E42"/>
    <w:rsid w:val="6DD04D06"/>
    <w:rsid w:val="6E0F79EF"/>
    <w:rsid w:val="6E2A1B04"/>
    <w:rsid w:val="6E497BC6"/>
    <w:rsid w:val="6E6F5D16"/>
    <w:rsid w:val="6EDE2458"/>
    <w:rsid w:val="6F09491A"/>
    <w:rsid w:val="6F270BDE"/>
    <w:rsid w:val="6F32682D"/>
    <w:rsid w:val="6F942E74"/>
    <w:rsid w:val="6FB145F4"/>
    <w:rsid w:val="6FE6375B"/>
    <w:rsid w:val="7008444B"/>
    <w:rsid w:val="70097144"/>
    <w:rsid w:val="701E431A"/>
    <w:rsid w:val="7039164A"/>
    <w:rsid w:val="7042299B"/>
    <w:rsid w:val="7044032E"/>
    <w:rsid w:val="7083029D"/>
    <w:rsid w:val="70CD7E32"/>
    <w:rsid w:val="70FD18A6"/>
    <w:rsid w:val="71180B00"/>
    <w:rsid w:val="71197628"/>
    <w:rsid w:val="71794527"/>
    <w:rsid w:val="717C071D"/>
    <w:rsid w:val="718B5A8E"/>
    <w:rsid w:val="71D12A9C"/>
    <w:rsid w:val="71F2680D"/>
    <w:rsid w:val="71F71F9E"/>
    <w:rsid w:val="71FD3D1A"/>
    <w:rsid w:val="7256627B"/>
    <w:rsid w:val="72616BFF"/>
    <w:rsid w:val="72AE46FB"/>
    <w:rsid w:val="72AF4744"/>
    <w:rsid w:val="72C911C3"/>
    <w:rsid w:val="72DA2A57"/>
    <w:rsid w:val="72F220F7"/>
    <w:rsid w:val="731E2C3B"/>
    <w:rsid w:val="73680A5B"/>
    <w:rsid w:val="74D574EB"/>
    <w:rsid w:val="75674CAE"/>
    <w:rsid w:val="75B754E7"/>
    <w:rsid w:val="769C461C"/>
    <w:rsid w:val="77751285"/>
    <w:rsid w:val="77AB24B8"/>
    <w:rsid w:val="78B236E4"/>
    <w:rsid w:val="78B61CEC"/>
    <w:rsid w:val="790E7842"/>
    <w:rsid w:val="79331AE4"/>
    <w:rsid w:val="794A0946"/>
    <w:rsid w:val="7975218E"/>
    <w:rsid w:val="797851DB"/>
    <w:rsid w:val="7A157151"/>
    <w:rsid w:val="7A2119E5"/>
    <w:rsid w:val="7B6902D6"/>
    <w:rsid w:val="7B984D7B"/>
    <w:rsid w:val="7BC6610D"/>
    <w:rsid w:val="7BCC2790"/>
    <w:rsid w:val="7C084C6B"/>
    <w:rsid w:val="7C151EC4"/>
    <w:rsid w:val="7C5C399C"/>
    <w:rsid w:val="7C6C243B"/>
    <w:rsid w:val="7C977CED"/>
    <w:rsid w:val="7D6A62B6"/>
    <w:rsid w:val="7D785B46"/>
    <w:rsid w:val="7D8A50EF"/>
    <w:rsid w:val="7DC42E43"/>
    <w:rsid w:val="7DC56920"/>
    <w:rsid w:val="7E104322"/>
    <w:rsid w:val="7E605C32"/>
    <w:rsid w:val="7E7315A4"/>
    <w:rsid w:val="7E85156B"/>
    <w:rsid w:val="7EC84080"/>
    <w:rsid w:val="7ECB2916"/>
    <w:rsid w:val="7FC827F9"/>
    <w:rsid w:val="7FEF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4"/>
    <w:next w:val="1"/>
    <w:qFormat/>
    <w:uiPriority w:val="0"/>
    <w:pPr>
      <w:keepNext/>
      <w:keepLines/>
      <w:numPr>
        <w:ilvl w:val="0"/>
        <w:numId w:val="1"/>
      </w:numPr>
      <w:spacing w:before="100" w:after="90" w:line="240" w:lineRule="auto"/>
      <w:jc w:val="center"/>
      <w:outlineLvl w:val="0"/>
    </w:pPr>
    <w:rPr>
      <w:b/>
      <w:kern w:val="44"/>
      <w:sz w:val="28"/>
    </w:rPr>
  </w:style>
  <w:style w:type="paragraph" w:styleId="5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140" w:after="140" w:line="240" w:lineRule="auto"/>
      <w:outlineLvl w:val="1"/>
    </w:pPr>
    <w:rPr>
      <w:rFonts w:ascii="Arial" w:hAnsi="Arial"/>
      <w:b/>
      <w:sz w:val="24"/>
    </w:rPr>
  </w:style>
  <w:style w:type="paragraph" w:styleId="6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outlineLvl w:val="2"/>
    </w:pPr>
    <w:rPr>
      <w:b/>
    </w:rPr>
  </w:style>
  <w:style w:type="paragraph" w:styleId="7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/>
      <w:b/>
    </w:rPr>
  </w:style>
  <w:style w:type="paragraph" w:styleId="8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9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10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4">
    <w:name w:val="toc 1"/>
    <w:basedOn w:val="1"/>
    <w:next w:val="1"/>
    <w:qFormat/>
    <w:uiPriority w:val="39"/>
  </w:style>
  <w:style w:type="paragraph" w:styleId="13">
    <w:name w:val="annotation text"/>
    <w:basedOn w:val="1"/>
    <w:qFormat/>
    <w:uiPriority w:val="0"/>
    <w:pPr>
      <w:jc w:val="left"/>
    </w:pPr>
  </w:style>
  <w:style w:type="paragraph" w:styleId="14">
    <w:name w:val="toc 3"/>
    <w:basedOn w:val="1"/>
    <w:next w:val="1"/>
    <w:qFormat/>
    <w:uiPriority w:val="39"/>
    <w:pPr>
      <w:ind w:left="840" w:leftChars="400"/>
    </w:p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20">
    <w:name w:val="Table Grid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page number"/>
    <w:basedOn w:val="21"/>
    <w:qFormat/>
    <w:uiPriority w:val="0"/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paragraph" w:customStyle="1" w:styleId="24">
    <w:name w:val="WPSOffice手动目录 1"/>
    <w:qFormat/>
    <w:uiPriority w:val="0"/>
    <w:rPr>
      <w:rFonts w:eastAsia="微软雅黑" w:asciiTheme="minorHAnsi" w:hAnsiTheme="minorHAnsi" w:cstheme="minorBidi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eastAsia="微软雅黑" w:asciiTheme="minorHAnsi" w:hAnsiTheme="minorHAnsi" w:cstheme="minorBidi"/>
      <w:lang w:val="en-US" w:eastAsia="zh-CN" w:bidi="ar-SA"/>
    </w:rPr>
  </w:style>
  <w:style w:type="paragraph" w:customStyle="1" w:styleId="26">
    <w:name w:val="WPSOffice手动目录 3"/>
    <w:qFormat/>
    <w:uiPriority w:val="0"/>
    <w:pPr>
      <w:ind w:left="400" w:leftChars="400"/>
    </w:pPr>
    <w:rPr>
      <w:rFonts w:eastAsia="微软雅黑" w:asciiTheme="minorHAnsi" w:hAnsiTheme="minorHAnsi" w:cstheme="minorBidi"/>
      <w:lang w:val="en-US" w:eastAsia="zh-CN" w:bidi="ar-SA"/>
    </w:rPr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paragraph" w:customStyle="1" w:styleId="28">
    <w:name w:val="Revision"/>
    <w:hidden/>
    <w:unhideWhenUsed/>
    <w:qFormat/>
    <w:uiPriority w:val="99"/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emf"/><Relationship Id="rId23" Type="http://schemas.openxmlformats.org/officeDocument/2006/relationships/oleObject" Target="embeddings/oleObject1.bin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GIF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4377</Words>
  <Characters>4875</Characters>
  <Lines>53</Lines>
  <Paragraphs>15</Paragraphs>
  <TotalTime>0</TotalTime>
  <ScaleCrop>false</ScaleCrop>
  <LinksUpToDate>false</LinksUpToDate>
  <CharactersWithSpaces>5104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2020-09-15T08:16:00Z</dcterms:created>
  <dc:creator>WPS_1591149877</dc:creator>
  <cp:lastModifiedBy>wuhui</cp:lastModifiedBy>
  <dcterms:modified xsi:type="dcterms:W3CDTF">2024-03-13T07:14:16Z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4D56446147DB4C7AA4E6B0AA2BC1D9C9</vt:lpwstr>
  </property>
</Properties>
</file>