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Times New Roman" w:hAnsi="Times New Roman" w:eastAsia="微软雅黑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</w:rPr>
        <w:t>文件号：</w:t>
      </w:r>
      <w:r>
        <w:rPr>
          <w:rFonts w:ascii="微软雅黑" w:hAnsi="微软雅黑" w:eastAsia="微软雅黑" w:cs="微软雅黑"/>
          <w:color w:val="171A1D"/>
          <w:sz w:val="21"/>
          <w:szCs w:val="21"/>
          <w:shd w:val="clear" w:color="auto" w:fill="FFFFFF"/>
        </w:rPr>
        <w:t>MS-002</w:t>
      </w:r>
      <w:r>
        <w:rPr>
          <w:rFonts w:hint="eastAsia" w:ascii="微软雅黑" w:hAnsi="微软雅黑" w:eastAsia="微软雅黑" w:cs="微软雅黑"/>
          <w:color w:val="171A1D"/>
          <w:sz w:val="21"/>
          <w:szCs w:val="21"/>
          <w:shd w:val="clear" w:color="auto" w:fill="FFFFFF"/>
          <w:lang w:val="en-US" w:eastAsia="zh-CN"/>
        </w:rPr>
        <w:t>P</w:t>
      </w:r>
      <w:r>
        <w:rPr>
          <w:rFonts w:ascii="微软雅黑" w:hAnsi="微软雅黑" w:eastAsia="微软雅黑" w:cs="微软雅黑"/>
          <w:color w:val="171A1D"/>
          <w:sz w:val="21"/>
          <w:szCs w:val="21"/>
          <w:shd w:val="clear" w:color="auto" w:fill="FFFFFF"/>
        </w:rPr>
        <w:t>.10W</w:t>
      </w:r>
      <w:r>
        <w:rPr>
          <w:rFonts w:hint="eastAsia" w:ascii="微软雅黑" w:hAnsi="微软雅黑" w:eastAsia="微软雅黑" w:cs="微软雅黑"/>
          <w:color w:val="171A1D"/>
          <w:sz w:val="21"/>
          <w:szCs w:val="21"/>
          <w:shd w:val="clear" w:color="auto" w:fill="FFFFFF"/>
          <w:lang w:val="en-US" w:eastAsia="zh-CN"/>
        </w:rPr>
        <w:t>007</w:t>
      </w: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ascii="Times New Roman" w:hAnsi="Times New Roman" w:cs="Times New Roman"/>
          <w:sz w:val="24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Times New Roman"/>
          <w:b/>
          <w:bCs/>
          <w:sz w:val="52"/>
          <w:szCs w:val="52"/>
        </w:rPr>
        <w:t>骨科手术导航定位系统</w:t>
      </w:r>
    </w:p>
    <w:p>
      <w:pPr>
        <w:jc w:val="center"/>
        <w:rPr>
          <w:rFonts w:asciiTheme="minorEastAsia" w:hAnsiTheme="minorEastAsia" w:eastAsiaTheme="minorEastAsia" w:cstheme="minorEastAsia"/>
          <w:b/>
          <w:bCs/>
          <w:sz w:val="52"/>
          <w:szCs w:val="5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</w:rPr>
        <w:t>使用风险分析</w:t>
      </w:r>
    </w:p>
    <w:p>
      <w:pPr>
        <w:jc w:val="center"/>
        <w:rPr>
          <w:rFonts w:hint="default" w:asciiTheme="minorEastAsia" w:hAnsiTheme="minorEastAsia" w:eastAsiaTheme="minorEastAsia" w:cstheme="minorEastAsia"/>
          <w:b/>
          <w:bCs/>
          <w:sz w:val="52"/>
          <w:szCs w:val="5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产品型号：Navolution</w:t>
      </w: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 xml:space="preserve"> Pro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21"/>
        <w:tblpPr w:leftFromText="180" w:rightFromText="180" w:vertAnchor="text" w:horzAnchor="page" w:tblpX="2562" w:tblpY="33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4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编制/日期：</w:t>
            </w:r>
          </w:p>
        </w:tc>
        <w:tc>
          <w:tcPr>
            <w:tcW w:w="4504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 New Roman" w:hAnsi="Times New Roman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严凌霄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  <w:lang w:val="en-US" w:eastAsia="zh-CN"/>
              </w:rPr>
              <w:t>?.?二阶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审核/日期：</w:t>
            </w:r>
          </w:p>
        </w:tc>
        <w:tc>
          <w:tcPr>
            <w:tcW w:w="45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洪洁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</w:t>
            </w:r>
            <w:r>
              <w:rPr>
                <w:rFonts w:hint="eastAsia" w:ascii="Times New Roman" w:hAnsi="Times New Roman" w:cs="Times New Roman"/>
                <w:vanish/>
                <w:color w:val="0000FF"/>
                <w:lang w:val="en-US" w:eastAsia="zh-CN"/>
              </w:rPr>
              <w:t>?.?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575" w:type="dxa"/>
            <w:vAlign w:val="center"/>
          </w:tcPr>
          <w:p>
            <w:pPr>
              <w:jc w:val="center"/>
              <w:rPr>
                <w:rFonts w:ascii="Times New Roman" w:hAnsi="Times New Roman" w:cs="宋体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宋体"/>
                <w:b/>
                <w:sz w:val="32"/>
                <w:szCs w:val="32"/>
              </w:rPr>
              <w:t>批准/日期：</w:t>
            </w:r>
          </w:p>
        </w:tc>
        <w:tc>
          <w:tcPr>
            <w:tcW w:w="45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李明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/202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</w:t>
            </w:r>
            <w:r>
              <w:rPr>
                <w:rFonts w:hint="eastAsia" w:ascii="Times New Roman" w:hAnsi="Times New Roman" w:cs="Times New Roman"/>
                <w:vanish/>
                <w:color w:val="0000FF"/>
                <w:lang w:val="en-US" w:eastAsia="zh-CN"/>
              </w:rPr>
              <w:t>?.?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Ansi="宋体"/>
          <w:b/>
          <w:szCs w:val="21"/>
        </w:rPr>
      </w:pPr>
    </w:p>
    <w:p>
      <w:pPr>
        <w:jc w:val="center"/>
        <w:rPr>
          <w:rFonts w:hAnsi="宋体"/>
          <w:b/>
          <w:szCs w:val="21"/>
        </w:rPr>
      </w:pPr>
    </w:p>
    <w:p>
      <w:pPr>
        <w:jc w:val="center"/>
        <w:rPr>
          <w:rFonts w:hAnsi="宋体"/>
          <w:b/>
          <w:szCs w:val="21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hAnsi="宋体"/>
          <w:b/>
          <w:szCs w:val="21"/>
        </w:rPr>
        <w:t>杭州三坛医疗科技有限公司</w:t>
      </w:r>
    </w:p>
    <w:p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br w:type="page"/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文档修订履历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227"/>
        <w:gridCol w:w="3533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306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</w:t>
            </w:r>
            <w:r>
              <w:rPr>
                <w:rFonts w:ascii="Times New Roman" w:hAnsi="Times New Roman" w:cs="Times New Roman"/>
                <w:bCs/>
                <w:szCs w:val="21"/>
              </w:rPr>
              <w:t>/</w:t>
            </w:r>
            <w:r>
              <w:rPr>
                <w:rFonts w:ascii="Times New Roman" w:hAnsi="宋体" w:cs="Times New Roman"/>
                <w:bCs/>
                <w:szCs w:val="21"/>
              </w:rPr>
              <w:t>实施日期</w:t>
            </w:r>
          </w:p>
        </w:tc>
        <w:tc>
          <w:tcPr>
            <w:tcW w:w="2072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955" w:type="pct"/>
            <w:shd w:val="pct10" w:color="auto" w:fill="auto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</w:rPr>
              <w:t>V</w:t>
            </w:r>
            <w:r>
              <w:rPr>
                <w:rFonts w:ascii="Times New Roman" w:hAnsi="Times New Roman" w:cs="Times New Roman"/>
                <w:bCs/>
                <w:szCs w:val="21"/>
              </w:rPr>
              <w:t>1.0</w:t>
            </w: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vanish/>
                <w:color w:val="0000FF"/>
              </w:rPr>
              <w:t>202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2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</w:rPr>
              <w:t>0</w:t>
            </w:r>
            <w:r>
              <w:rPr>
                <w:rFonts w:hint="eastAsia" w:ascii="Times New Roman" w:hAnsi="Times New Roman" w:cs="Times New Roman"/>
                <w:vanish/>
                <w:color w:val="0000FF"/>
                <w:lang w:val="en-US" w:eastAsia="zh-CN"/>
              </w:rPr>
              <w:t>?</w:t>
            </w:r>
            <w:r>
              <w:rPr>
                <w:rFonts w:ascii="Times New Roman" w:hAnsi="Times New Roman" w:cs="Times New Roman"/>
                <w:vanish/>
                <w:color w:val="0000FF"/>
              </w:rPr>
              <w:t>.</w:t>
            </w:r>
            <w:r>
              <w:rPr>
                <w:rFonts w:hint="eastAsia" w:ascii="Times New Roman" w:hAnsi="Times New Roman" w:cs="Times New Roman"/>
                <w:vanish/>
                <w:color w:val="0000FF"/>
                <w:lang w:val="en-US" w:eastAsia="zh-CN"/>
              </w:rPr>
              <w:t>??</w:t>
            </w: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</w:rPr>
              <w:t>严凌霄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306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2072" w:type="pct"/>
            <w:vAlign w:val="center"/>
          </w:tcPr>
          <w:p>
            <w:pPr>
              <w:widowControl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955" w:type="pct"/>
            <w:vAlign w:val="center"/>
          </w:tcPr>
          <w:p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rFonts w:ascii="Times New Roman" w:hAnsi="Times New Roman" w:cs="Times New Roman"/>
          <w:sz w:val="32"/>
          <w:szCs w:val="40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>
      <w:pPr>
        <w:ind w:firstLine="420"/>
        <w:jc w:val="left"/>
        <w:rPr>
          <w:iCs/>
        </w:rPr>
      </w:pPr>
      <w:r>
        <w:rPr>
          <w:rFonts w:hint="eastAsia"/>
          <w:iCs/>
        </w:rPr>
        <w:t>文档仅限产品（项目）组内流转，违者负相应法律责任。</w:t>
      </w:r>
    </w:p>
    <w:p>
      <w:pPr>
        <w:ind w:firstLine="42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5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_Toc9638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第一章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_Toc9638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1.1 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_Toc961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_Toc22747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1.2 </w:t>
          </w:r>
          <w:r>
            <w:rPr>
              <w:rFonts w:hint="eastAsia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_Toc22747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_Toc10434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第二章 </w:t>
          </w:r>
          <w:r>
            <w:rPr>
              <w:rFonts w:hint="eastAsia"/>
            </w:rPr>
            <w:t>引用</w:t>
          </w:r>
          <w:r>
            <w:tab/>
          </w:r>
          <w:r>
            <w:fldChar w:fldCharType="begin"/>
          </w:r>
          <w:r>
            <w:instrText xml:space="preserve"> PAGEREF _Toc10434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_Toc13081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第三章 </w:t>
          </w:r>
          <w:r>
            <w:rPr>
              <w:rFonts w:hint="eastAsia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_Toc13081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_Toc11998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第四章 </w:t>
          </w:r>
          <w:r>
            <w:rPr>
              <w:rFonts w:ascii="Times New Roman" w:hAnsi="Times New Roman" w:cs="Times New Roman"/>
            </w:rPr>
            <w:t>应用摘要</w:t>
          </w:r>
          <w:r>
            <w:tab/>
          </w:r>
          <w:r>
            <w:fldChar w:fldCharType="begin"/>
          </w:r>
          <w:r>
            <w:instrText xml:space="preserve"> PAGEREF _Toc11998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_Toc4199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 </w:t>
          </w:r>
          <w:r>
            <w:rPr>
              <w:rFonts w:ascii="Times New Roman" w:hAnsi="Times New Roman" w:cs="Times New Roman"/>
            </w:rPr>
            <w:t>预期用途</w:t>
          </w:r>
          <w:r>
            <w:tab/>
          </w:r>
          <w:r>
            <w:fldChar w:fldCharType="begin"/>
          </w:r>
          <w:r>
            <w:instrText xml:space="preserve"> PAGEREF _Toc4199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_Toc15791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 </w:t>
          </w:r>
          <w:r>
            <w:rPr>
              <w:rFonts w:ascii="Times New Roman" w:hAnsi="Times New Roman" w:cs="Times New Roman"/>
            </w:rPr>
            <w:t>用户特征</w:t>
          </w:r>
          <w:r>
            <w:tab/>
          </w:r>
          <w:r>
            <w:fldChar w:fldCharType="begin"/>
          </w:r>
          <w:r>
            <w:instrText xml:space="preserve"> PAGEREF _Toc15791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_Toc3804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第五章 </w:t>
          </w:r>
          <w:r>
            <w:rPr>
              <w:rFonts w:ascii="Times New Roman" w:hAnsi="Times New Roman" w:cs="Times New Roman"/>
            </w:rPr>
            <w:t>有可能出错的事项</w:t>
          </w:r>
          <w:r>
            <w:tab/>
          </w:r>
          <w:r>
            <w:fldChar w:fldCharType="begin"/>
          </w:r>
          <w:r>
            <w:instrText xml:space="preserve"> PAGEREF _Toc3804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_Toc25655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5.1 </w:t>
          </w:r>
          <w:r>
            <w:rPr>
              <w:rFonts w:ascii="Times New Roman" w:hAnsi="Times New Roman" w:cs="Times New Roman"/>
            </w:rPr>
            <w:t>现场安装</w:t>
          </w:r>
          <w:r>
            <w:tab/>
          </w:r>
          <w:r>
            <w:fldChar w:fldCharType="begin"/>
          </w:r>
          <w:r>
            <w:instrText xml:space="preserve"> PAGEREF _Toc25655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_Toc19884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5.2 </w:t>
          </w:r>
          <w:r>
            <w:rPr>
              <w:rFonts w:hint="eastAsia" w:ascii="宋体" w:hAnsi="宋体" w:cs="宋体"/>
            </w:rPr>
            <w:t>启动设备</w:t>
          </w:r>
          <w:r>
            <w:tab/>
          </w:r>
          <w:r>
            <w:fldChar w:fldCharType="begin"/>
          </w:r>
          <w:r>
            <w:instrText xml:space="preserve"> PAGEREF _Toc19884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_Toc18475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5.3 </w:t>
          </w:r>
          <w:r>
            <w:rPr>
              <w:rFonts w:hint="eastAsia" w:ascii="宋体" w:hAnsi="宋体" w:cs="宋体"/>
            </w:rPr>
            <w:t>手术规划与执行</w:t>
          </w:r>
          <w:r>
            <w:tab/>
          </w:r>
          <w:r>
            <w:fldChar w:fldCharType="begin"/>
          </w:r>
          <w:r>
            <w:instrText xml:space="preserve"> PAGEREF _Toc18475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_Toc6597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5.4 </w:t>
          </w:r>
          <w:r>
            <w:rPr>
              <w:rFonts w:hint="eastAsia" w:ascii="宋体" w:hAnsi="宋体" w:cs="宋体"/>
            </w:rPr>
            <w:t>关闭系统</w:t>
          </w:r>
          <w:r>
            <w:tab/>
          </w:r>
          <w:r>
            <w:fldChar w:fldCharType="begin"/>
          </w:r>
          <w:r>
            <w:instrText xml:space="preserve"> PAGEREF _Toc6597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_Toc28834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5.5 </w:t>
          </w:r>
          <w:r>
            <w:rPr>
              <w:rFonts w:hint="eastAsia" w:ascii="宋体" w:hAnsi="宋体" w:cs="宋体"/>
            </w:rPr>
            <w:t>基于配准板的X光注册和图像配准</w:t>
          </w:r>
          <w:r>
            <w:tab/>
          </w:r>
          <w:r>
            <w:fldChar w:fldCharType="begin"/>
          </w:r>
          <w:r>
            <w:instrText xml:space="preserve"> PAGEREF _Toc28834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_Toc7226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</w:rPr>
            <w:t xml:space="preserve">5.6 </w:t>
          </w:r>
          <w:r>
            <w:rPr>
              <w:rFonts w:hint="eastAsia" w:ascii="宋体" w:hAnsi="宋体" w:cs="宋体"/>
              <w:bCs/>
            </w:rPr>
            <w:t>机械臂末端按钮控制通道升降</w:t>
          </w:r>
          <w:r>
            <w:tab/>
          </w:r>
          <w:r>
            <w:fldChar w:fldCharType="begin"/>
          </w:r>
          <w:r>
            <w:instrText xml:space="preserve"> PAGEREF _Toc7226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_Toc3927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5.7 </w:t>
          </w:r>
          <w:r>
            <w:rPr>
              <w:rFonts w:hint="eastAsia" w:ascii="宋体" w:hAnsi="宋体" w:cs="宋体"/>
            </w:rPr>
            <w:t>工具灭菌</w:t>
          </w:r>
          <w:r>
            <w:tab/>
          </w:r>
          <w:r>
            <w:fldChar w:fldCharType="begin"/>
          </w:r>
          <w:r>
            <w:instrText xml:space="preserve"> PAGEREF _Toc3927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5.8 </w:t>
          </w:r>
          <w:r>
            <w:rPr>
              <w:rFonts w:hint="eastAsia" w:ascii="宋体" w:hAnsi="宋体" w:cs="宋体"/>
            </w:rPr>
            <w:t>紧急停止</w:t>
          </w:r>
          <w:r>
            <w:tab/>
          </w:r>
          <w:r>
            <w:fldChar w:fldCharType="begin"/>
          </w:r>
          <w:r>
            <w:instrText xml:space="preserve"> PAGEREF _Toc261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_Toc1241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t xml:space="preserve">5.9 </w:t>
          </w:r>
          <w:r>
            <w:rPr>
              <w:rFonts w:hint="eastAsia" w:ascii="宋体" w:hAnsi="宋体" w:cs="宋体"/>
            </w:rPr>
            <w:t>UPS供电</w:t>
          </w:r>
          <w:r>
            <w:tab/>
          </w:r>
          <w:r>
            <w:fldChar w:fldCharType="begin"/>
          </w:r>
          <w:r>
            <w:instrText xml:space="preserve"> PAGEREF _Toc1241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sz w:val="24"/>
        </w:rPr>
      </w:pPr>
      <w:r>
        <w:rPr>
          <w:rFonts w:hint="eastAsia"/>
          <w:sz w:val="24"/>
        </w:rPr>
        <w:br w:type="page"/>
      </w:r>
    </w:p>
    <w:p>
      <w:pPr>
        <w:pStyle w:val="2"/>
        <w:jc w:val="both"/>
        <w:rPr>
          <w:sz w:val="24"/>
        </w:rPr>
      </w:pPr>
      <w:bookmarkStart w:id="0" w:name="_Toc9638"/>
      <w:r>
        <w:rPr>
          <w:rFonts w:hint="eastAsia"/>
          <w:sz w:val="24"/>
        </w:rPr>
        <w:t>引言</w:t>
      </w:r>
      <w:bookmarkEnd w:id="0"/>
    </w:p>
    <w:p>
      <w:pPr>
        <w:pStyle w:val="4"/>
        <w:rPr>
          <w:sz w:val="24"/>
        </w:rPr>
      </w:pPr>
      <w:bookmarkStart w:id="1" w:name="_Toc961"/>
      <w:r>
        <w:rPr>
          <w:rFonts w:hint="eastAsia"/>
          <w:sz w:val="24"/>
        </w:rPr>
        <w:t>编写目的</w:t>
      </w:r>
      <w:bookmarkEnd w:id="1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依照《可用性工程对医疗器械的应用》，编写骨科手术导航定位系统的《使用风险分析》，用于识别器械使用过程中的用户动作，尤其是有可能导致错误的事项，以识别已知的和可预见的用户接口有关的危险(源)和危险情况。</w:t>
      </w:r>
    </w:p>
    <w:p>
      <w:pPr>
        <w:pStyle w:val="4"/>
        <w:rPr>
          <w:sz w:val="24"/>
        </w:rPr>
      </w:pPr>
      <w:bookmarkStart w:id="2" w:name="_Toc22747"/>
      <w:r>
        <w:rPr>
          <w:rFonts w:hint="eastAsia"/>
          <w:sz w:val="24"/>
        </w:rPr>
        <w:t>适用范围</w:t>
      </w:r>
      <w:bookmarkEnd w:id="2"/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>适用于骨科手术导航定位系统的可用性规范的输入。</w:t>
      </w:r>
    </w:p>
    <w:p>
      <w:pPr>
        <w:rPr>
          <w:sz w:val="24"/>
        </w:rPr>
      </w:pPr>
      <w:r>
        <w:rPr>
          <w:rFonts w:hint="eastAsia"/>
          <w:sz w:val="24"/>
        </w:rPr>
        <w:br w:type="page"/>
      </w:r>
    </w:p>
    <w:p>
      <w:pPr>
        <w:pStyle w:val="2"/>
        <w:jc w:val="both"/>
        <w:rPr>
          <w:sz w:val="24"/>
        </w:rPr>
      </w:pPr>
      <w:bookmarkStart w:id="3" w:name="_Toc10434"/>
      <w:r>
        <w:rPr>
          <w:rFonts w:hint="eastAsia"/>
          <w:sz w:val="24"/>
        </w:rPr>
        <w:t>引用</w:t>
      </w:r>
      <w:bookmarkEnd w:id="3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338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标准</w:t>
            </w:r>
          </w:p>
        </w:tc>
        <w:tc>
          <w:tcPr>
            <w:tcW w:w="5292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标准名称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YY/T 1474-2016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《医疗器械 可用性工程对医疗器械的应用》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IEC/TR 62366-2:2016</w:t>
            </w:r>
          </w:p>
        </w:tc>
        <w:tc>
          <w:tcPr>
            <w:tcW w:w="5292" w:type="dxa"/>
          </w:tcPr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>《</w:t>
            </w:r>
            <w:r>
              <w:rPr>
                <w:sz w:val="24"/>
              </w:rPr>
              <w:t>Medical devices — Part 2: Guidance on the application of usability engineering to medical devices</w:t>
            </w:r>
            <w:r>
              <w:rPr>
                <w:rFonts w:hint="eastAsia"/>
                <w:sz w:val="24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YY/T 9706.106-2021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《医用电气设备 第1-6部分： 基本安全和基本性能的通用要求并列标准： 可用性》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《医疗器械人因设计技术审查指导原则（征求意见稿）》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33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  <w:tc>
          <w:tcPr>
            <w:tcW w:w="529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《MS-002</w:t>
            </w:r>
            <w:r>
              <w:rPr>
                <w:rFonts w:hint="eastAsia"/>
                <w:sz w:val="24"/>
                <w:lang w:val="en-US" w:eastAsia="zh-CN"/>
              </w:rPr>
              <w:t>P</w:t>
            </w:r>
            <w:r>
              <w:rPr>
                <w:rFonts w:hint="eastAsia"/>
                <w:sz w:val="24"/>
              </w:rPr>
              <w:t>可用性应用规范》</w:t>
            </w:r>
          </w:p>
        </w:tc>
      </w:tr>
    </w:tbl>
    <w:p>
      <w:pPr>
        <w:pStyle w:val="2"/>
        <w:rPr>
          <w:sz w:val="24"/>
        </w:rPr>
      </w:pPr>
      <w:bookmarkStart w:id="4" w:name="_Toc13081"/>
      <w:r>
        <w:rPr>
          <w:rFonts w:hint="eastAsia"/>
          <w:sz w:val="24"/>
        </w:rPr>
        <w:t>术语和定义</w:t>
      </w:r>
      <w:bookmarkEnd w:id="4"/>
    </w:p>
    <w:p>
      <w:pPr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无。</w:t>
      </w:r>
    </w:p>
    <w:p>
      <w:pPr>
        <w:pStyle w:val="2"/>
        <w:rPr>
          <w:rFonts w:ascii="Times New Roman" w:hAnsi="Times New Roman" w:cs="Times New Roman"/>
          <w:sz w:val="24"/>
        </w:rPr>
      </w:pPr>
      <w:bookmarkStart w:id="5" w:name="_Toc11998"/>
      <w:r>
        <w:rPr>
          <w:rFonts w:ascii="Times New Roman" w:hAnsi="Times New Roman" w:cs="Times New Roman"/>
          <w:sz w:val="24"/>
        </w:rPr>
        <w:t>应用摘要</w:t>
      </w:r>
      <w:bookmarkEnd w:id="5"/>
    </w:p>
    <w:p>
      <w:pPr>
        <w:pStyle w:val="4"/>
        <w:rPr>
          <w:rFonts w:ascii="Times New Roman" w:hAnsi="Times New Roman" w:cs="Times New Roman"/>
          <w:sz w:val="24"/>
        </w:rPr>
      </w:pPr>
      <w:bookmarkStart w:id="6" w:name="_Toc4199"/>
      <w:r>
        <w:rPr>
          <w:rFonts w:ascii="Times New Roman" w:hAnsi="Times New Roman" w:cs="Times New Roman"/>
          <w:sz w:val="24"/>
        </w:rPr>
        <w:t>预期用途</w:t>
      </w:r>
      <w:bookmarkEnd w:id="6"/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请参考《MS-002</w:t>
      </w:r>
      <w:r>
        <w:rPr>
          <w:rFonts w:hint="eastAsia" w:ascii="Times New Roman" w:hAnsi="Times New Roman" w:cs="Times New Roman"/>
          <w:sz w:val="24"/>
          <w:lang w:val="en-US" w:eastAsia="zh-CN"/>
        </w:rPr>
        <w:t>P</w:t>
      </w:r>
      <w:r>
        <w:rPr>
          <w:rFonts w:ascii="Times New Roman" w:hAnsi="Times New Roman" w:cs="Times New Roman"/>
          <w:sz w:val="24"/>
        </w:rPr>
        <w:t>可用性应用规范》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pStyle w:val="4"/>
        <w:rPr>
          <w:rFonts w:ascii="Times New Roman" w:hAnsi="Times New Roman" w:cs="Times New Roman"/>
          <w:sz w:val="24"/>
        </w:rPr>
      </w:pPr>
      <w:bookmarkStart w:id="7" w:name="_Toc15791"/>
      <w:r>
        <w:rPr>
          <w:rFonts w:ascii="Times New Roman" w:hAnsi="Times New Roman" w:cs="Times New Roman"/>
          <w:sz w:val="24"/>
        </w:rPr>
        <w:t>用户特征</w:t>
      </w:r>
      <w:bookmarkEnd w:id="7"/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请参考《MS-002</w:t>
      </w:r>
      <w:r>
        <w:rPr>
          <w:rFonts w:hint="eastAsia" w:ascii="Times New Roman" w:hAnsi="Times New Roman" w:cs="Times New Roman"/>
          <w:sz w:val="24"/>
          <w:lang w:val="en-US" w:eastAsia="zh-CN"/>
        </w:rPr>
        <w:t>P</w:t>
      </w:r>
      <w:r>
        <w:rPr>
          <w:rFonts w:ascii="Times New Roman" w:hAnsi="Times New Roman" w:cs="Times New Roman"/>
          <w:sz w:val="24"/>
        </w:rPr>
        <w:t>可用性应用规范》</w:t>
      </w:r>
      <w:r>
        <w:rPr>
          <w:rFonts w:hint="eastAsia" w:ascii="Times New Roman" w:hAnsi="Times New Roman" w:cs="Times New Roman"/>
          <w:sz w:val="24"/>
        </w:rPr>
        <w:t>。</w:t>
      </w:r>
      <w:bookmarkStart w:id="67" w:name="_GoBack"/>
      <w:bookmarkEnd w:id="67"/>
    </w:p>
    <w:p>
      <w:pPr>
        <w:pStyle w:val="2"/>
        <w:rPr>
          <w:rFonts w:ascii="Times New Roman" w:hAnsi="Times New Roman" w:cs="Times New Roman"/>
          <w:sz w:val="24"/>
        </w:rPr>
      </w:pPr>
      <w:bookmarkStart w:id="8" w:name="_Toc3804"/>
      <w:r>
        <w:rPr>
          <w:rFonts w:ascii="Times New Roman" w:hAnsi="Times New Roman" w:cs="Times New Roman"/>
          <w:sz w:val="24"/>
        </w:rPr>
        <w:t>有可能出错的事项</w:t>
      </w:r>
      <w:bookmarkEnd w:id="8"/>
    </w:p>
    <w:p>
      <w:pPr>
        <w:pStyle w:val="4"/>
        <w:rPr>
          <w:rFonts w:ascii="Times New Roman" w:hAnsi="Times New Roman" w:cs="Times New Roman"/>
          <w:sz w:val="24"/>
        </w:rPr>
      </w:pPr>
      <w:bookmarkStart w:id="9" w:name="_Toc25655"/>
      <w:r>
        <w:rPr>
          <w:rFonts w:ascii="Times New Roman" w:hAnsi="Times New Roman" w:cs="Times New Roman"/>
          <w:sz w:val="24"/>
        </w:rPr>
        <w:t>现场安装</w:t>
      </w:r>
      <w:bookmarkEnd w:id="9"/>
    </w:p>
    <w:p>
      <w:pPr>
        <w:pStyle w:val="5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取出配件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从包装中取出显示器及其配件</w:t>
      </w:r>
      <w:r>
        <w:rPr>
          <w:rFonts w:hint="eastAsia" w:ascii="Times New Roman" w:hAnsi="Times New Roman" w:cs="Times New Roman"/>
          <w:sz w:val="24"/>
        </w:rPr>
        <w:t>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</w:tbl>
    <w:p>
      <w:bookmarkStart w:id="10" w:name="_Hlk145246099"/>
    </w:p>
    <w:p>
      <w:pPr>
        <w:pStyle w:val="5"/>
        <w:tabs>
          <w:tab w:val="left" w:pos="840"/>
        </w:tabs>
        <w:ind w:left="84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安装显示器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在显示器背面安装显示器转接件，然后将显示器转接件插入导航台车的显示器支架，锁上固定螺钉</w:t>
      </w:r>
      <w:r>
        <w:rPr>
          <w:rFonts w:hint="eastAsia" w:ascii="Times New Roman" w:hAnsi="Times New Roman" w:cs="Times New Roman"/>
          <w:sz w:val="24"/>
        </w:rPr>
        <w:t>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机械能危险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螺钉紧固不到位，显示器转接件与显示器结合不稳定。显示器安装不到位，显示器可能松动或掉落。</w:t>
            </w:r>
          </w:p>
        </w:tc>
        <w:tc>
          <w:tcPr>
            <w:tcW w:w="1367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显示器易掉落</w:t>
            </w:r>
          </w:p>
        </w:tc>
        <w:tc>
          <w:tcPr>
            <w:tcW w:w="1074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1.说明书明确显示器需安装到位；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2.提供人员培训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217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</w:rPr>
      </w:pPr>
    </w:p>
    <w:p>
      <w:pPr>
        <w:pStyle w:val="5"/>
        <w:tabs>
          <w:tab w:val="left" w:pos="840"/>
        </w:tabs>
        <w:ind w:left="84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取出吊臂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从包装中取出吊臂，锁上固定螺钉</w:t>
      </w:r>
      <w:r>
        <w:rPr>
          <w:rFonts w:hint="eastAsia" w:ascii="Times New Roman" w:hAnsi="Times New Roman" w:cs="Times New Roman"/>
          <w:sz w:val="24"/>
        </w:rPr>
        <w:t>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机械能危险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</w:rPr>
              <w:t>螺钉紧固不到位，吊臂结合不稳定。</w:t>
            </w:r>
          </w:p>
        </w:tc>
        <w:tc>
          <w:tcPr>
            <w:tcW w:w="1367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吊臂易掉落</w:t>
            </w:r>
          </w:p>
        </w:tc>
        <w:tc>
          <w:tcPr>
            <w:tcW w:w="1074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1.说明书明确吊臂需安装到位；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2.提供人员培训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218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5"/>
        <w:tabs>
          <w:tab w:val="left" w:pos="840"/>
        </w:tabs>
        <w:ind w:left="84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安装双目相机</w:t>
      </w:r>
    </w:p>
    <w:p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从包装中取出双目相机，用四颗螺钉在其背面安装相机把手，再将相机把手安装在吊臂上，最后将吊臂上的网线插入双目相机背面的网口，并锁紧网线末端的安装螺母</w:t>
      </w:r>
      <w:r>
        <w:rPr>
          <w:rFonts w:hint="eastAsia" w:ascii="Times New Roman" w:hAnsi="Times New Roman" w:cs="Times New Roman"/>
          <w:sz w:val="24"/>
        </w:rPr>
        <w:t>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机械能危险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吊臂安装不到位，吊臂可能松动或掉落；相机安装不到位，相机可能松动或掉落；</w:t>
            </w:r>
          </w:p>
        </w:tc>
        <w:tc>
          <w:tcPr>
            <w:tcW w:w="1367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吊臂或相机易掉落</w:t>
            </w:r>
          </w:p>
        </w:tc>
        <w:tc>
          <w:tcPr>
            <w:tcW w:w="1074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1.说明书明确吊臂级双目相机需安装到位；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2.提供人员培训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218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Times New Roman" w:hAnsi="Times New Roman" w:cs="Times New Roman"/>
          <w:sz w:val="24"/>
        </w:rPr>
      </w:pPr>
    </w:p>
    <w:bookmarkEnd w:id="10"/>
    <w:p>
      <w:pPr>
        <w:pStyle w:val="4"/>
        <w:rPr>
          <w:rFonts w:ascii="宋体" w:hAnsi="宋体" w:cs="宋体"/>
          <w:sz w:val="24"/>
        </w:rPr>
      </w:pPr>
      <w:bookmarkStart w:id="11" w:name="_Toc19884"/>
      <w:r>
        <w:rPr>
          <w:rFonts w:hint="eastAsia" w:ascii="宋体" w:hAnsi="宋体" w:cs="宋体"/>
          <w:sz w:val="24"/>
        </w:rPr>
        <w:t>启动设备</w:t>
      </w:r>
      <w:bookmarkEnd w:id="11"/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12" w:name="_Hlk145246177"/>
      <w:r>
        <w:rPr>
          <w:rFonts w:hint="eastAsia" w:ascii="宋体" w:hAnsi="宋体" w:cs="宋体"/>
          <w:b w:val="0"/>
          <w:bCs/>
          <w:sz w:val="24"/>
        </w:rPr>
        <w:t>接通网电源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分别针对导航台车，执行台车和操作台车，将电源线穿过固线器插入接线面板的电源开关的插座上，并拨动电源开关上的锁紧卡簧，锁住电源插头，用螺丝刀锁紧固线器。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ascii="等线 Regular" w:hAnsi="等线" w:eastAsia="等线 Regular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等线 Regular" w:hAnsi="等线" w:eastAsia="等线 Regular" w:cs="宋体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三插供电插孔插座插错导致设备损坏；</w:t>
            </w:r>
          </w:p>
          <w:p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67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设备无法正常使用</w:t>
            </w:r>
          </w:p>
        </w:tc>
        <w:tc>
          <w:tcPr>
            <w:tcW w:w="1074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4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S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bCs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1.选用防呆电源插头；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2.增加提示标识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330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连接脚踏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将脚踏的插头插入接线面板的脚踏插座上，确认安装到位。导致设备无法正常使用，延误手术进程。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脚踏错误连接；</w:t>
            </w: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无法定位</w:t>
            </w: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1.选用防呆脚踏插头；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2.增加提示标识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331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连接C臂机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使用RJ-45网线一端接入C形臂X光机的RJ-45网口，另一端接入导航台车接线面板的任意RJ-45网口。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多个RJ-45网口，无法确定哪一个用于与C臂机X光机进行通讯。</w:t>
            </w: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手术无法继续</w:t>
            </w: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 xml:space="preserve"> C臂机与导航台车网线接口无固定对应关系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2.设计C臂机实时状态图标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328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ind w:firstLine="420"/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连接执行台车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使用RJ-45网线一端接入执行台车接线面板的任意RJ-45网口，另一端接入导航台车接线面板的任意RJ-45网口。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多个RJ-45网口，</w:t>
            </w:r>
            <w:r>
              <w:rPr>
                <w:rFonts w:hint="eastAsia" w:ascii="宋体" w:hAnsi="宋体" w:cs="宋体"/>
                <w:sz w:val="24"/>
              </w:rPr>
              <w:t>无法确定哪一个用于与执行台车进行通讯</w:t>
            </w: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。</w:t>
            </w: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手术无法继续</w:t>
            </w: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执行台车与导航台车网线接口无固定对应关系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选择具备防误踢的网络接口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设计机械臂实时状态图标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119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执行台车具有多个RJ-45网口，无法确定哪一个用于与导航台车进行通讯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手术无法继续</w:t>
            </w: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Times New Roman" w:asciiTheme="minorEastAsia" w:hAnsiTheme="minorEastAsia" w:eastAsiaTheme="minorEastAsia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执行台车与导航台车网线接口无固定对应关系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选择具备防误踢的网络接口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设计机械臂实时状态图标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119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连接操作台车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使用HDMI视频线的一端接入导航台车接线面板的HDMI接口，另一端接入操作台车接线面板的HDMI接口。</w:t>
      </w:r>
    </w:p>
    <w:p>
      <w:pPr>
        <w:ind w:firstLine="420"/>
        <w:rPr>
          <w:rFonts w:ascii="宋体" w:hAnsi="宋体" w:cs="宋体"/>
          <w:sz w:val="24"/>
        </w:rPr>
      </w:pP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导航台车开机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打开导航台车接线面板的【电源开关】，可以看到【电源】指示灯亮起，【UPS】指示灯亮起。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执行台车开机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打开执行台车接线面板的【电源开关】，可以看到【电源】指示灯亮起，【UPS】指示灯亮起。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操作台车开机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打开操作台车接线面板的【电源开关】，可以看到【电源】指示灯亮起。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开启机械臂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按下执行台车接线面板的【机械臂】开关，开关会亮蓝灯，等待约73秒机械臂会发出声响，表示机械臂完成连接和上电。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机械臂提示灯光造成用户误解。</w:t>
            </w: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引起误操作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13" w:name="_Hlk146122918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使用符合用户常识的颜色含义；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2.说明书中明确机械臂指示灯的含义</w:t>
            </w:r>
          </w:p>
          <w:bookmarkEnd w:id="13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40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网络参数设置错误，设备连接异常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设备无法控制机械臂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14" w:name="_Hlk146123037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说明书告知用户清晰机械臂网络参数；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  <w:bookmarkEnd w:id="14"/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112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脚轮操作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导航台车、执行台车与操作台车的四个脚轮均具备脚轮刹车装置。当台车位置确定后，请按下刹车装置确保台车脚轮处于锁定状态，防止台车位置意外变动。在需要移动台车时，请抬起刹车装置，确保脚轮处于解锁状态，便于移动台车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bookmarkEnd w:id="12"/>
    <w:p>
      <w:pPr>
        <w:pStyle w:val="4"/>
        <w:rPr>
          <w:rFonts w:ascii="宋体" w:hAnsi="宋体" w:cs="宋体"/>
          <w:sz w:val="24"/>
        </w:rPr>
      </w:pPr>
      <w:bookmarkStart w:id="15" w:name="_Toc18475"/>
      <w:r>
        <w:rPr>
          <w:rFonts w:hint="eastAsia" w:ascii="宋体" w:hAnsi="宋体" w:cs="宋体"/>
          <w:sz w:val="24"/>
        </w:rPr>
        <w:t>手术规划与执行</w:t>
      </w:r>
      <w:bookmarkEnd w:id="15"/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 xml:space="preserve">登录 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选择用户名，输入与用户名匹配的密码后点击【登录】，进入软件。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非授权人员操作设备</w:t>
            </w:r>
          </w:p>
        </w:tc>
        <w:tc>
          <w:tcPr>
            <w:tcW w:w="1367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4"/>
              </w:rPr>
              <w:t>患者信息泄露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="等线 Regular" w:hAnsi="等线" w:eastAsia="等线 Regular" w:cs="宋体"/>
                <w:color w:val="000000"/>
                <w:kern w:val="0"/>
                <w:szCs w:val="28"/>
              </w:rPr>
            </w:pPr>
            <w:r>
              <w:rPr>
                <w:rFonts w:hint="eastAsia" w:ascii="等线 Regular" w:hAnsi="等线" w:eastAsia="等线 Regular"/>
                <w:color w:val="000000"/>
                <w:szCs w:val="28"/>
              </w:rPr>
              <w:t>泄露隐私信息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ascii="宋体" w:hAnsi="宋体" w:cs="宋体"/>
                <w:sz w:val="24"/>
              </w:rPr>
              <w:t xml:space="preserve"> 设计账号权限管理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205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新增病例/导入病例</w:t>
      </w:r>
    </w:p>
    <w:p>
      <w:pPr>
        <w:ind w:firstLine="420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sz w:val="24"/>
        </w:rPr>
        <w:t>手术开始前点击【新增病例】填写病例信息，内容包括患者姓名、患者性别、病历号、患者年龄、主刀医生、医院名称、备注和配准模式。患者姓名可以是汉字、数字和英文字母（含大小写），长度不超过12个字节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点击【下一步】，二维三维配准模式的病例进入CT导入界面，纯二维配准模式的病例则会进入术前准备界面。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用户活动未二次确认, 导致操作风险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引起误操作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 xml:space="preserve"> 用户未确认，无法进行后续操作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204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用户对导航相机精度检验的误差判断失误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导致定位位置不准确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.用户界面给出直观的判定结果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用户对C臂机配准板精度检验的误差判断失误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导致定位位置不准确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.用户界面给出直观的判定结果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246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b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导入CT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如果病例设定为二维三维配准模式，则需要选择患者的CT数据，进入CT导入界面。点击屏幕左上方的【导入CT】按钮，出现文件夹选择对话框，在对话框中选择CT序列所在中的文件夹，点击【加载】按钮。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从屏幕左侧的列表中选择需要的CT序列后，可在屏幕右侧的预览中查看数据内容，确认时需要的CT数据后，点击【下一步】进入下一个界面。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显示阈值参数设置不合理,CT数据相关显示效果不佳；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引起误操作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增加权限控制，非相关人员无法修改设置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100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导入CT数据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导入CT有误，可能导致配准失败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导入CT界面设计患者信息确认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222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数据路径过长，数据导入失败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数据缺失，无法读取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说明书告知用户规范数据路径；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108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磁盘空间不足，数据导入失败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数据缺失，无法读取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16" w:name="_Hlk146124639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导入前设计检测磁盘空间容量；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设计磁盘空间小于完成一台手术的最大空间要求前报警。</w:t>
            </w:r>
          </w:p>
          <w:bookmarkEnd w:id="16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110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未对多序列CT数据进行区分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多序列CT导致数据混乱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17" w:name="_Hlk146124737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验证CT数据有效性</w:t>
            </w:r>
            <w:bookmarkEnd w:id="17"/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111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CT层厚过厚，CT图像不清晰, 配准相似等级不够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螺钉打偏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18" w:name="_Hlk146124792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检测CT数据层厚，过厚的数据用户界面提示；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2.说明书明确对CT数据层厚要求；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3.提供用户培训</w:t>
            </w:r>
          </w:p>
          <w:bookmarkEnd w:id="18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术前规划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CT数据显示在屏幕左侧的三个二维视图和一个三维视图中，左上方为横断位，左下方为冠状位，右上方为矢状位，右下方为三维视图，屏幕右侧显示按钮及螺钉列表。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点击屏幕右侧螺钉列表上方的【添加螺钉】，在屏幕左侧任意一张二维视图中，按下鼠标左键不释放，移动鼠标绘制一条直线，即可规划出一根螺钉，通过螺钉上的三个控制点可调整螺钉的位姿。绘制直线时起点为螺钉头端，终点为螺钉尾端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点击屏幕右侧顶部【长度】或【角度】按钮，可在二维视图中画出辅助线，显示相对长度或角度。点击【清除】可删除已画的辅助线。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屏幕右侧螺钉列表中，点击对应的表格单元，可修改螺钉的名称、颜色、长度、直径、样式、是否隐藏，点击【锁定螺钉/解锁螺钉】可对当前锁定螺钉进行锁定或解锁、点击【删除螺钉】可删除当前选中螺钉。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选择手术器械，包含选择工具包、选择C臂机、选择配准板，完成选择后点击【确认】。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显示阈值参数设置不合理,CT数据相关显示效果不佳；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引起误操作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增加权限控制，非相关人员无法修改设置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100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窗宽窗位调整不熟练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视图显示异常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设计重置视图功能；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124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图像被移出视野范围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窗口丢失图像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设计重置视图功能；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125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用户误操作，产品规划错误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定位精度不够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1.规划结果设计为必须人工确认；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304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对医学图像处理错误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系统匹配错误、手术路径规划错误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1.规划结果设计为必须人工确认；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305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b/>
          <w:sz w:val="24"/>
        </w:rPr>
      </w:pPr>
    </w:p>
    <w:p>
      <w:pPr>
        <w:pStyle w:val="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术前准备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首先是选择手术器械，包含选择工具包、选择C臂机、选择配准板，完成选择后点击【确认】。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示踪器固定不牢</w:t>
            </w:r>
          </w:p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定位不准确，螺钉打偏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19" w:name="_Hlk14612531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设计稳定易安装的患者示踪器；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bookmarkEnd w:id="19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148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工具安装不规范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机械臂前端工具不准确,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定位不准确，螺钉打偏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20" w:name="_Hlk146125479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设计依据双目相机闭环控制；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bookmarkEnd w:id="20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154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工具参数错误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机械臂前端工具不准确,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定位不准确，螺钉打偏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21" w:name="_Hlk14612554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说明书明确工具选择意义和逻辑；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1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155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22" w:name="_Hlk146126003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</w:t>
            </w:r>
            <w:bookmarkEnd w:id="22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将平板C臂机配准板安装在C臂机上，并安装无菌罩，安装不到位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影响配准精度,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23" w:name="_Hlk146126013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3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226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将平板C臂机配准板安装在C臂机上，并安装无菌罩，安装不到位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配准板容易掉落，室温部分接触患者，可立即分离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说明书明确C臂机配准板及示踪器需安装牢固；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227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将机械臂无菌罩安装至机械臂台车，安装不到位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安装不到位，导致污染术区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造成患者感染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4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24" w:name="_Hlk14612609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术前准备界面设计无菌罩安装动画；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说明书明确无菌罩需安装到位；</w:t>
            </w:r>
          </w:p>
          <w:p>
            <w:pP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4"/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229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图像采集与注册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移动C臂机到合适位姿，对患者采集X光图像后，在C臂机端将图像发送至骨科手术规划与控制软件，本软件会首先进行图像校正，也就是对导入的二维图像的畸变失真进行校正，然后对校正后的图像进行自动注册，注册成功后显示</w:t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REF _Ref32375 \h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 xml:space="preserve">图 </w:t>
      </w:r>
      <w:r>
        <w:rPr>
          <w:rFonts w:hint="eastAsia" w:ascii="宋体" w:hAnsi="宋体" w:cs="宋体"/>
          <w:sz w:val="24"/>
          <w:szCs w:val="24"/>
        </w:rPr>
        <w:fldChar w:fldCharType="begin"/>
      </w:r>
      <w:r>
        <w:rPr>
          <w:rFonts w:hint="eastAsia" w:ascii="宋体" w:hAnsi="宋体" w:cs="宋体"/>
          <w:sz w:val="24"/>
          <w:szCs w:val="24"/>
        </w:rPr>
        <w:instrText xml:space="preserve"> STYLEREF 1 \s </w:instrText>
      </w:r>
      <w:r>
        <w:rPr>
          <w:rFonts w:hint="eastAsia" w:ascii="宋体" w:hAnsi="宋体" w:cs="宋体"/>
          <w:sz w:val="24"/>
          <w:szCs w:val="24"/>
        </w:rPr>
        <w:fldChar w:fldCharType="separate"/>
      </w:r>
      <w:r>
        <w:rPr>
          <w:rFonts w:hint="eastAsia" w:ascii="宋体" w:hAnsi="宋体" w:cs="宋体"/>
          <w:sz w:val="24"/>
          <w:szCs w:val="24"/>
        </w:rPr>
        <w:t>7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t>-15</w:t>
      </w:r>
      <w:r>
        <w:rPr>
          <w:rFonts w:hint="eastAsia" w:ascii="宋体" w:hAnsi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</w:rPr>
        <w:t>所示X片注册对话框。点击【确认】按钮，注册成功的X光图像会添加到【X片注册】界面下方的列表中。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详细的分析请参考 </w:t>
      </w:r>
      <w:r>
        <w:rPr>
          <w:rFonts w:ascii="宋体" w:hAnsi="宋体" w:cs="宋体"/>
          <w:sz w:val="24"/>
          <w:szCs w:val="24"/>
        </w:rPr>
        <w:t xml:space="preserve">5.5 </w:t>
      </w:r>
      <w:r>
        <w:rPr>
          <w:rFonts w:hint="eastAsia" w:ascii="宋体" w:hAnsi="宋体" w:cs="宋体"/>
          <w:sz w:val="24"/>
          <w:szCs w:val="24"/>
        </w:rPr>
        <w:t>节</w:t>
      </w: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图像配准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果病例设定为二维三维配准模式，则需要将X光图片与CT图像进行融合，进入【图像配准】界面。窗口左侧显示第一张注册X光图像与CT图像DDR的叠加，窗口中间显示第二张注册X光图像与CT图像DDR的叠加，窗口右侧是CT图像微调面板，配准流程如下：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通过CT图像微调面板的平移和旋转按钮，调整CT图像位姿与X光图像进行粗配准，使得CT和X光图像大致配准；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箭头按钮：沿XY轴平移CT图像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旋转按钮：绕X轴的正向和反向旋转、绕Y轴的正向和反向旋转、绕Z轴的正向和反向旋转。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放大缩小按钮：沿Z轴平移CT图像。点击【框选】在其中一张图像上框选精配准区域，点击一次只能框选一个，框选两张图像需要分别点两次；【颜色】按钮可更换CT显示的颜色，【还原】按钮可使CT回到初始姿态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点击【配准】后进行自动配准；自动配准可能需要等待，此时会显示一个等待进度条。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完成配准后，如果配准结果不满足要求，可通过微调按钮进行继续微调；最后点击【播放】按钮，可循环查看配准结果。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完成配准后点击【下一步】进入下一界面。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图像配准不精确</w:t>
            </w:r>
          </w:p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配准错误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25" w:name="_Hlk146126733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以二维图像上的规划坐标为定位目标；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用户界面提示信息；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5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236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配图人员经验不足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配准精度不足，定位不准确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5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26" w:name="_Hlk146126867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配准结果设计为必须人工确认；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6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150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X片规划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【X片规划】用于在术中规划或者调整螺钉，屏幕上方显示三张X光影像，就是【X片注册】界面中添加到列表中的三张成功注册的X光影像。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 w:val="21"/>
                <w:szCs w:val="21"/>
              </w:rPr>
              <w:t>显示阈值参数设置不合理,CT数据相关显示效果不佳；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引起误操作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增加权限控制，非相关人员无法修改设置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100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窗宽窗位调整不熟练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视图显示异常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设计重置视图功能；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124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图像被移出视野范围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窗口丢失图像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设计重置视图功能；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125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用户误操作，产品规划错误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定位精度不够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1.规划结果设计为必须人工确认；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304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对医学图像处理错误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系统匹配错误、手术路径规划错误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1.规划结果设计为必须人工确认；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305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定位导航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螺钉规划完成并确认规划正确后，进入【定位导航】界面。这个界面控制机械臂完成螺钉真实三维空间的精准定位。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按下执行台车上的【上升】按钮，直至台车脚撑落地，台车稳固。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在定位器中安装一级套筒。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在屏幕左下方的螺钉列表中选中一个螺钉</w:t>
      </w:r>
    </w:p>
    <w:p>
      <w:pPr>
        <w:pStyle w:val="13"/>
        <w:spacing w:after="0" w:line="360" w:lineRule="auto"/>
        <w:ind w:left="0" w:leftChars="0" w:right="0" w:rightChars="0" w:firstLine="480" w:firstLineChars="200"/>
        <w:rPr>
          <w:rFonts w:ascii="宋体" w:hAnsi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</w:rPr>
        <w:t>确认仿真后机械臂自动运行至目标位置，当机械臂信号灯变为绿色时表示运动到位，可观察屏幕中下方，左侧螺钉的实时入点偏差和出点偏差，也可通过X光图像中的绿色虚线直观观察其与规划螺钉的位姿关系。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安装一级套筒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,安装不到位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套筒掉落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27" w:name="_Hlk146127037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设计定位器与一级套筒的卡紧装置</w:t>
            </w:r>
          </w:p>
          <w:bookmarkEnd w:id="27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台车升起未到位，脚撑未着地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执行台车术中移动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28" w:name="_Hlk146127121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定位前用户界面提示台车需升起到位；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说明书明确台车需升起到位；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28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机械臂移动过程中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室温部分小于130N力碰撞患者，可立即分离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29" w:name="_Hlk14612718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设计机械臂姿态仿真功能；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提供脚踏控制机械臂，松开脚踏机械臂立即停止</w:t>
            </w:r>
          </w:p>
          <w:bookmarkEnd w:id="29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精度未达标就放开脚踏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定位误差较大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30" w:name="_Hlk146127336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设计机械臂信息提示和灯光提示；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说明书明确灯光提示含义；</w:t>
            </w:r>
          </w:p>
          <w:p>
            <w:pP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30"/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操作者搞错升降、旋转方向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机械臂室温部分小于130N力碰撞患者，可立即分离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导致患者擦伤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31" w:name="_Hlk146127517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合理设计机械臂运动速度</w:t>
            </w:r>
          </w:p>
          <w:bookmarkEnd w:id="31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241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骨钻示踪器安装不到位，安装不牢固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导航位置不准确，影响用户判断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1.说明书明确骨钻示踪器需安装牢固；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242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骨钻标定误差较大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导航位置不准确，影响用户判断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32" w:name="_Hlk146127659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软件设计骨钻标定动画提示；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2.说明书明确骨钻需正确标定；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3.提供用户培训</w:t>
            </w:r>
            <w:bookmarkEnd w:id="32"/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骨钻显示与实际位置偏移过大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骨钻偏移过大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33" w:name="_Hlk146127958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设计骨钻偏移量实时显示</w:t>
            </w:r>
            <w:bookmarkEnd w:id="33"/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设备使用过程中误触急停按钮</w:t>
            </w:r>
          </w:p>
          <w:p>
            <w:pPr>
              <w:widowControl/>
              <w:spacing w:line="240" w:lineRule="auto"/>
              <w:ind w:firstLine="420" w:firstLineChars="200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机械臂未按规划路径移动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34" w:name="_Hlk146128046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设计急停按钮具备防误触结构；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选择具备防误触结构的急停按钮</w:t>
            </w:r>
          </w:p>
          <w:bookmarkEnd w:id="34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jc w:val="center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用户误操作升降按钮， 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台车下降压到用户的脚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造成用户伤残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台车升降运动设计可一键停止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277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13"/>
        <w:spacing w:after="0" w:line="360" w:lineRule="auto"/>
        <w:ind w:left="0" w:leftChars="0" w:right="0" w:rightChars="0"/>
        <w:rPr>
          <w:rFonts w:ascii="宋体" w:hAnsi="宋体" w:cs="宋体"/>
          <w:bCs/>
          <w:sz w:val="24"/>
          <w:szCs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评估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在【定位导航】界面的右上角点击【评估】进入评估界面，对手术效果进行评估。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ind w:firstLine="420"/>
        <w:rPr>
          <w:sz w:val="24"/>
        </w:rPr>
      </w:pPr>
    </w:p>
    <w:p>
      <w:pPr>
        <w:rPr>
          <w:rFonts w:ascii="宋体" w:hAnsi="宋体" w:cs="宋体"/>
          <w:sz w:val="24"/>
        </w:rPr>
      </w:pPr>
    </w:p>
    <w:p>
      <w:pPr>
        <w:pStyle w:val="4"/>
        <w:rPr>
          <w:rFonts w:ascii="宋体" w:hAnsi="宋体" w:cs="宋体"/>
          <w:sz w:val="24"/>
        </w:rPr>
      </w:pPr>
      <w:bookmarkStart w:id="35" w:name="_Toc6597"/>
      <w:r>
        <w:rPr>
          <w:rFonts w:hint="eastAsia" w:ascii="宋体" w:hAnsi="宋体" w:cs="宋体"/>
          <w:sz w:val="24"/>
        </w:rPr>
        <w:t>关闭系统</w:t>
      </w:r>
      <w:bookmarkEnd w:id="35"/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结束手术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如果全部手术完成，则点击【结束手术】，即可回到患者管理界面。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软件误关闭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产品无法使用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36" w:name="_Hlk146128282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软件关闭操作设计二次确认；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36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162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软件误删数据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产品无法使用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数据删除操作设计二次确认；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163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关闭系统</w:t>
      </w:r>
    </w:p>
    <w:p>
      <w:pPr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点击软件最右上方的【关机】图标，选择关闭系统。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产品在无人值守期间阻止非授权用户访问和使用的能力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患者信息泄露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泄露隐私信息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37" w:name="_Hlk146128405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设计软件自动锁屏功能</w:t>
            </w:r>
          </w:p>
          <w:bookmarkEnd w:id="37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203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将执行台车降落到位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用户误操作升降按钮， 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台车下降压到用户的脚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="等线 Regular" w:hAnsi="等线" w:eastAsia="等线 Regular" w:cs="宋体"/>
                <w:color w:val="000000"/>
                <w:kern w:val="0"/>
                <w:szCs w:val="28"/>
              </w:rPr>
            </w:pPr>
            <w:r>
              <w:rPr>
                <w:rFonts w:hint="eastAsia" w:ascii="等线 Regular" w:hAnsi="等线" w:eastAsia="等线 Regular"/>
                <w:color w:val="000000"/>
                <w:szCs w:val="28"/>
              </w:rPr>
              <w:t>造成用户伤残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台车升降运动设计可一键停止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277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bookmarkStart w:id="38" w:name="_Hlk146128496"/>
      <w:r>
        <w:rPr>
          <w:rFonts w:hint="eastAsia" w:ascii="宋体" w:hAnsi="宋体" w:cs="宋体"/>
          <w:b w:val="0"/>
          <w:bCs/>
          <w:sz w:val="24"/>
        </w:rPr>
        <w:t>关闭导航台车接线面板的【电源开关】，从网电源插座拔出电源线，收纳入导航台车。</w:t>
      </w:r>
    </w:p>
    <w:bookmarkEnd w:id="38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39" w:name="_Hlk146128511"/>
      <w:r>
        <w:rPr>
          <w:rFonts w:hint="eastAsia" w:ascii="宋体" w:hAnsi="宋体" w:cs="宋体"/>
          <w:b w:val="0"/>
          <w:bCs/>
          <w:sz w:val="24"/>
        </w:rPr>
        <w:t>按下执行台车接线面板的【机械臂】开关，等待机械臂灯熄灭。关闭执行台车接线面板的【电源开关】，从网电源插座拔出电源线，收纳入执行台车。</w:t>
      </w:r>
    </w:p>
    <w:bookmarkEnd w:id="39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40" w:name="_Hlk146128520"/>
      <w:r>
        <w:rPr>
          <w:rFonts w:hint="eastAsia" w:ascii="宋体" w:hAnsi="宋体" w:cs="宋体"/>
          <w:b w:val="0"/>
          <w:bCs/>
          <w:sz w:val="24"/>
        </w:rPr>
        <w:t>关闭操作台车接线面板的【电源开关】，从网电源插座拔出电源线，收纳入操作台车。</w:t>
      </w:r>
    </w:p>
    <w:bookmarkEnd w:id="40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无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</w:tr>
    </w:tbl>
    <w:p>
      <w:pPr>
        <w:pStyle w:val="4"/>
        <w:rPr>
          <w:rFonts w:ascii="宋体" w:hAnsi="宋体" w:cs="宋体"/>
          <w:sz w:val="24"/>
        </w:rPr>
      </w:pPr>
      <w:bookmarkStart w:id="41" w:name="_Toc28834"/>
      <w:r>
        <w:rPr>
          <w:rFonts w:hint="eastAsia" w:ascii="宋体" w:hAnsi="宋体" w:cs="宋体"/>
          <w:sz w:val="24"/>
        </w:rPr>
        <w:t>基于配准板的X光注册和图像配准</w:t>
      </w:r>
      <w:bookmarkEnd w:id="41"/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42" w:name="_Hlk146128545"/>
      <w:r>
        <w:rPr>
          <w:rFonts w:hint="eastAsia" w:ascii="宋体" w:hAnsi="宋体" w:cs="宋体"/>
          <w:b w:val="0"/>
          <w:bCs/>
          <w:sz w:val="24"/>
        </w:rPr>
        <w:t>取出相应配准板， 核对配准板编号与软件中的选择一致。</w:t>
      </w:r>
    </w:p>
    <w:bookmarkEnd w:id="42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配准板选择有误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X片注册失败/手术精度下降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43" w:name="_Hlk146128611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说明书明确告知机械臂配准板及C臂机配准板的外观与使用方式；</w:t>
            </w:r>
          </w:p>
          <w:p>
            <w:pP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43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223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pStyle w:val="5"/>
        <w:rPr>
          <w:rFonts w:ascii="宋体" w:hAnsi="宋体" w:cs="宋体"/>
          <w:b w:val="0"/>
          <w:bCs/>
          <w:sz w:val="24"/>
        </w:rPr>
      </w:pPr>
      <w:bookmarkStart w:id="44" w:name="_Hlk146128555"/>
      <w:r>
        <w:rPr>
          <w:rFonts w:hint="eastAsia" w:ascii="宋体" w:hAnsi="宋体" w:cs="宋体"/>
          <w:b w:val="0"/>
          <w:bCs/>
          <w:sz w:val="24"/>
        </w:rPr>
        <w:t>安装到C臂机或者定位通道中；</w:t>
      </w:r>
    </w:p>
    <w:bookmarkEnd w:id="44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配准板摆放不合理，小球识别不准确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图像注册失败，无法继续手术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4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设计机械臂自动水平与居中摆位；</w:t>
            </w:r>
          </w:p>
          <w:p>
            <w:pP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参数配置错误，小球识别不准确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图像注册失败，无法继续手术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说明书明确配置参数调整意义与方法；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配准板小球未定期标定，小球识别不准确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图像注册失败，无法继续手术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45" w:name="_Hlk146128915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设计软件记录工具使用次数；超期限用户界面提示；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45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/>
    <w:p>
      <w:pPr>
        <w:pStyle w:val="5"/>
        <w:rPr>
          <w:rFonts w:ascii="宋体" w:hAnsi="宋体" w:cs="宋体"/>
          <w:b w:val="0"/>
          <w:bCs/>
          <w:sz w:val="24"/>
        </w:rPr>
      </w:pPr>
      <w:bookmarkStart w:id="46" w:name="_Hlk146128563"/>
      <w:r>
        <w:rPr>
          <w:rFonts w:hint="eastAsia" w:ascii="宋体" w:hAnsi="宋体" w:cs="宋体"/>
          <w:b w:val="0"/>
          <w:bCs/>
          <w:sz w:val="24"/>
        </w:rPr>
        <w:t>移动C臂机进行图像采集。</w:t>
      </w:r>
    </w:p>
    <w:bookmarkEnd w:id="46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机械能危险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用户拖动机械臂用力过猛</w:t>
            </w:r>
          </w:p>
          <w:p>
            <w:pPr>
              <w:rPr>
                <w:rFonts w:cs="宋体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机械臂保护性停止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47" w:name="_Hlk146129233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用户界面能够快速解除保护性停止；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2.说明书中规定操作方式</w:t>
            </w:r>
          </w:p>
          <w:bookmarkEnd w:id="47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使用者注意力不集中，在软件界面误点了机械臂相关功能，以及误踩脚踏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室温部分小于130N力碰撞患者，可立即分离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.</w:t>
            </w:r>
            <w:bookmarkStart w:id="48" w:name="_Hlk146129289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设计急停按钮；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2.机械臂运动设计指示灯提示；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3.确保软件易用性；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4.完善说明书内容</w:t>
            </w:r>
          </w:p>
          <w:bookmarkEnd w:id="48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34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脚踏或通道按钮误操作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引起非预期动作，室温部分小于130N力碰撞患者，可立即分离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.设计急停按钮；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2.软件设计进行有效阻隔，避免误操作发生；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机械臂运动速度参数设置不合理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机械臂运动速度过快或过慢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1.</w:t>
            </w:r>
            <w:bookmarkStart w:id="49" w:name="_Hlk146129631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增加权限控制，非相关人员无法修改设置</w:t>
            </w:r>
            <w:bookmarkEnd w:id="49"/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101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未进行畸变矫正，畸变矫正不到位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图像注册失败，无法继续手术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50" w:name="_Hlk146129794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50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136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畸变配置参数不匹配，畸变矫正不到位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图像注册失败，无法继续手术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137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设备成像参数不合理，X光图像不清晰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配准精度不足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139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C臂机移动过程中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C臂机室温部分撞到患者或手术床，可立即分离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51" w:name="_Hlk146129979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说明书告知用户移动C臂机过程中避免与环境发生干涉；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51"/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机械臂拖动过程中或水平对齐/自动居中过程中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配准板室温部分碰到患者，可立即分离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52" w:name="_Hlk146130146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说明书告知用户移动配准板过程中避免与环境发生干涉；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52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232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发送错误透视片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配准错误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2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233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X光图像分辨率不匹配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手术无法继续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设计图像注册精度及判定；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说明书明确图像注册要求；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315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  <w:vAlign w:val="center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接收X光图像无提示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手术无法继续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延误手术进程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53" w:name="_Hlk146130414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设计接收X光图像后自动注册，用户界面显示注册结果</w:t>
            </w:r>
          </w:p>
          <w:bookmarkEnd w:id="53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318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/>
    <w:p>
      <w:pPr>
        <w:pStyle w:val="4"/>
        <w:rPr>
          <w:rFonts w:ascii="宋体" w:hAnsi="宋体" w:cs="宋体"/>
          <w:b w:val="0"/>
          <w:bCs/>
          <w:sz w:val="24"/>
        </w:rPr>
      </w:pPr>
      <w:bookmarkStart w:id="54" w:name="_Toc7226"/>
      <w:r>
        <w:rPr>
          <w:rFonts w:hint="eastAsia" w:ascii="宋体" w:hAnsi="宋体" w:cs="宋体"/>
          <w:b w:val="0"/>
          <w:bCs/>
          <w:sz w:val="24"/>
        </w:rPr>
        <w:t>机械臂末端按钮控制通道升降</w:t>
      </w:r>
      <w:bookmarkEnd w:id="54"/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55" w:name="_Hlk146130443"/>
      <w:r>
        <w:rPr>
          <w:rFonts w:hint="eastAsia" w:ascii="宋体" w:hAnsi="宋体" w:cs="宋体"/>
          <w:b w:val="0"/>
          <w:bCs/>
          <w:sz w:val="24"/>
        </w:rPr>
        <w:t>定位完成后，在机械臂末端按下对于按钮，控制机械臂末端沿定位通道左右旋转和上下平移。</w:t>
      </w:r>
    </w:p>
    <w:bookmarkEnd w:id="55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手术过程中，误点定位操作；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 xml:space="preserve">误用通道升降按钮 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引起非预期动作，机械臂室温部分小于130N力碰撞患者，可立即分离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56" w:name="_Hlk146130516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界面操作需与脚踏配合进行定位操作；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运动过程中设计指示灯提示；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设计机械臂运动仿真功能；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设计急停按钮；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软件中设计末端控制器的操作开关</w:t>
            </w:r>
          </w:p>
          <w:bookmarkEnd w:id="56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46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4"/>
        <w:rPr>
          <w:rFonts w:ascii="宋体" w:hAnsi="宋体" w:cs="宋体"/>
          <w:sz w:val="24"/>
        </w:rPr>
      </w:pPr>
      <w:bookmarkStart w:id="57" w:name="_Toc3927"/>
      <w:r>
        <w:rPr>
          <w:rFonts w:hint="eastAsia" w:ascii="宋体" w:hAnsi="宋体" w:cs="宋体"/>
          <w:sz w:val="24"/>
        </w:rPr>
        <w:t>工具灭菌</w:t>
      </w:r>
      <w:bookmarkEnd w:id="57"/>
    </w:p>
    <w:p>
      <w:pPr>
        <w:pStyle w:val="5"/>
        <w:rPr>
          <w:rFonts w:ascii="宋体" w:hAnsi="宋体" w:cs="宋体"/>
          <w:b w:val="0"/>
          <w:bCs/>
          <w:sz w:val="24"/>
        </w:rPr>
      </w:pPr>
      <w:r>
        <w:rPr>
          <w:rFonts w:hint="eastAsia" w:ascii="宋体" w:hAnsi="宋体" w:cs="宋体"/>
          <w:b w:val="0"/>
          <w:bCs/>
          <w:sz w:val="24"/>
        </w:rPr>
        <w:t>遵照WS 310.2—2016 中定义的灭菌过程要求，对工具包中的器械进行灭菌。</w:t>
      </w:r>
    </w:p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冲洗、精洗、干燥不充分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器械有污染</w:t>
            </w:r>
          </w:p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造成患者感染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58" w:name="_Hlk146130616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提供消毒灭菌指南；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58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249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用错灭菌方式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器械形变，定位精度下降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导致患者受伤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提供消毒灭菌指南；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250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使用错误危险</w:t>
            </w: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灭菌不充分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器械未充分灭菌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造成患者感染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提供消毒灭菌指南；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251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/>
    <w:p>
      <w:pPr>
        <w:pStyle w:val="4"/>
        <w:rPr>
          <w:rFonts w:ascii="宋体" w:hAnsi="宋体" w:cs="宋体"/>
          <w:sz w:val="24"/>
        </w:rPr>
      </w:pPr>
      <w:bookmarkStart w:id="59" w:name="_Toc261"/>
      <w:r>
        <w:rPr>
          <w:rFonts w:hint="eastAsia" w:ascii="宋体" w:hAnsi="宋体" w:cs="宋体"/>
          <w:sz w:val="24"/>
        </w:rPr>
        <w:t>紧急停止</w:t>
      </w:r>
      <w:bookmarkEnd w:id="59"/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60" w:name="_Hlk146130781"/>
      <w:r>
        <w:rPr>
          <w:rFonts w:hint="eastAsia" w:ascii="宋体" w:hAnsi="宋体" w:cs="宋体"/>
          <w:b w:val="0"/>
          <w:bCs/>
          <w:sz w:val="24"/>
        </w:rPr>
        <w:t>用户按下急停按钮，机械臂停止运动然后被切断电源</w:t>
      </w:r>
    </w:p>
    <w:bookmarkEnd w:id="60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急停功能不能让关键器件停止运行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急停设计响应时间过长导致对紧急情况的响应不及时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机械臂室温部分小于130N力碰撞患者，可立即分离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元器件选型；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设计急停按钮直接接入机械臂控制器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288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/>
    <w:p>
      <w:pPr>
        <w:pStyle w:val="5"/>
        <w:rPr>
          <w:rFonts w:ascii="宋体" w:hAnsi="宋体" w:cs="宋体"/>
          <w:b w:val="0"/>
          <w:bCs/>
          <w:sz w:val="24"/>
        </w:rPr>
      </w:pPr>
      <w:bookmarkStart w:id="61" w:name="_Hlk146130788"/>
      <w:r>
        <w:rPr>
          <w:rFonts w:hint="eastAsia" w:ascii="宋体" w:hAnsi="宋体" w:cs="宋体"/>
          <w:b w:val="0"/>
          <w:bCs/>
          <w:sz w:val="24"/>
        </w:rPr>
        <w:t>用户将手术器械以及设与患者分离</w:t>
      </w:r>
    </w:p>
    <w:bookmarkEnd w:id="61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电源断电导致机械臂锁死患者无法释放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急停开关触发导致机械臂锁死患者无法释放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机械臂室温部分小于130N力碰撞患者，可立即分离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bookmarkStart w:id="62" w:name="_Hlk14613095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设计机械臂断电后套筒、定位器和机械臂均可与患者顺畅分离</w:t>
            </w:r>
          </w:p>
          <w:bookmarkEnd w:id="62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289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p>
      <w:pPr>
        <w:pStyle w:val="4"/>
        <w:rPr>
          <w:rFonts w:ascii="宋体" w:hAnsi="宋体" w:cs="宋体"/>
          <w:sz w:val="24"/>
        </w:rPr>
      </w:pPr>
      <w:bookmarkStart w:id="63" w:name="_Toc1241"/>
      <w:r>
        <w:rPr>
          <w:rFonts w:hint="eastAsia" w:ascii="宋体" w:hAnsi="宋体" w:cs="宋体"/>
          <w:sz w:val="24"/>
        </w:rPr>
        <w:t>UPS供电</w:t>
      </w:r>
      <w:bookmarkEnd w:id="63"/>
    </w:p>
    <w:p>
      <w:pPr>
        <w:pStyle w:val="5"/>
        <w:rPr>
          <w:rFonts w:ascii="宋体" w:hAnsi="宋体" w:cs="宋体"/>
          <w:b w:val="0"/>
          <w:bCs/>
          <w:sz w:val="24"/>
        </w:rPr>
      </w:pPr>
      <w:bookmarkStart w:id="64" w:name="_Hlk146131004"/>
      <w:r>
        <w:rPr>
          <w:rFonts w:hint="eastAsia" w:ascii="宋体" w:hAnsi="宋体" w:cs="宋体"/>
          <w:b w:val="0"/>
          <w:bCs/>
          <w:sz w:val="24"/>
        </w:rPr>
        <w:t>网电源因为意外与设备分离，UPS无缝切换为导航台车与执行台车供电。用户听到UPS蜂鸣声，看到UPS指示灯亮起。</w:t>
      </w:r>
    </w:p>
    <w:bookmarkEnd w:id="64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UPS，用户超年限使用，后备电池供电不足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系统在工作中突然断电没有备用电源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bookmarkStart w:id="65" w:name="_Hlk146131100"/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说明书中明确UPS电池使用年限，需要定期更换；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提供用户培训</w:t>
            </w:r>
          </w:p>
          <w:bookmarkEnd w:id="65"/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289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/>
    <w:p>
      <w:pPr>
        <w:pStyle w:val="5"/>
        <w:rPr>
          <w:rFonts w:ascii="宋体" w:hAnsi="宋体" w:cs="宋体"/>
          <w:b w:val="0"/>
          <w:bCs/>
          <w:sz w:val="24"/>
        </w:rPr>
      </w:pPr>
      <w:bookmarkStart w:id="66" w:name="_Hlk146131016"/>
      <w:r>
        <w:rPr>
          <w:rFonts w:hint="eastAsia" w:ascii="宋体" w:hAnsi="宋体" w:cs="宋体"/>
          <w:b w:val="0"/>
          <w:bCs/>
          <w:sz w:val="24"/>
        </w:rPr>
        <w:t>用户将手术器械以及设与患者分离</w:t>
      </w:r>
    </w:p>
    <w:bookmarkEnd w:id="66"/>
    <w:tbl>
      <w:tblPr>
        <w:tblStyle w:val="21"/>
        <w:tblW w:w="9353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2439"/>
        <w:gridCol w:w="1367"/>
        <w:gridCol w:w="1074"/>
        <w:gridCol w:w="456"/>
        <w:gridCol w:w="569"/>
        <w:gridCol w:w="2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5" w:type="dxa"/>
            <w:gridSpan w:val="4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风险分析</w:t>
            </w:r>
          </w:p>
        </w:tc>
        <w:tc>
          <w:tcPr>
            <w:tcW w:w="1025" w:type="dxa"/>
            <w:gridSpan w:val="2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评估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危险(源)</w:t>
            </w:r>
          </w:p>
        </w:tc>
        <w:tc>
          <w:tcPr>
            <w:tcW w:w="2439" w:type="dxa"/>
          </w:tcPr>
          <w:p>
            <w:pPr>
              <w:rPr>
                <w:rFonts w:cs="Times New Roman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可能的错误</w:t>
            </w:r>
          </w:p>
        </w:tc>
        <w:tc>
          <w:tcPr>
            <w:tcW w:w="1367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危险情况</w:t>
            </w:r>
          </w:p>
        </w:tc>
        <w:tc>
          <w:tcPr>
            <w:tcW w:w="1074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伤害</w:t>
            </w:r>
          </w:p>
        </w:tc>
        <w:tc>
          <w:tcPr>
            <w:tcW w:w="456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等级</w:t>
            </w:r>
          </w:p>
        </w:tc>
        <w:tc>
          <w:tcPr>
            <w:tcW w:w="569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概率</w:t>
            </w:r>
          </w:p>
        </w:tc>
        <w:tc>
          <w:tcPr>
            <w:tcW w:w="2283" w:type="dxa"/>
          </w:tcPr>
          <w:p>
            <w:pPr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  <w:t>风险控制措施描述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功能危险</w:t>
            </w:r>
          </w:p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439" w:type="dxa"/>
          </w:tcPr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电源断电导致机械臂锁死患者无法释放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急停开关触发导致机械臂锁死患者无法释放</w:t>
            </w:r>
          </w:p>
        </w:tc>
        <w:tc>
          <w:tcPr>
            <w:tcW w:w="1367" w:type="dxa"/>
          </w:tcPr>
          <w:p>
            <w:pPr>
              <w:widowControl/>
              <w:spacing w:line="240" w:lineRule="auto"/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机械臂室温部分小于130N力碰撞患者，可立即分离</w:t>
            </w:r>
          </w:p>
        </w:tc>
        <w:tc>
          <w:tcPr>
            <w:tcW w:w="1074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导致患者伤残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</w:p>
        </w:tc>
        <w:tc>
          <w:tcPr>
            <w:tcW w:w="456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S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3</w:t>
            </w:r>
          </w:p>
        </w:tc>
        <w:tc>
          <w:tcPr>
            <w:tcW w:w="569" w:type="dxa"/>
          </w:tcPr>
          <w:p>
            <w:pP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Cs/>
                <w:sz w:val="21"/>
                <w:szCs w:val="21"/>
              </w:rPr>
              <w:t>P</w:t>
            </w:r>
            <w:r>
              <w:rPr>
                <w:rFonts w:cs="Times New Roman" w:asciiTheme="minorEastAsia" w:hAnsiTheme="minorEastAsia" w:eastAsiaTheme="minorEastAsia"/>
                <w:bCs/>
                <w:sz w:val="21"/>
                <w:szCs w:val="21"/>
              </w:rPr>
              <w:t>1</w:t>
            </w:r>
          </w:p>
        </w:tc>
        <w:tc>
          <w:tcPr>
            <w:tcW w:w="2283" w:type="dxa"/>
          </w:tcPr>
          <w:p>
            <w:pPr>
              <w:widowControl/>
              <w:spacing w:line="240" w:lineRule="auto"/>
              <w:rPr>
                <w:rFonts w:cs="宋体" w:asciiTheme="minorEastAsia" w:hAnsiTheme="minorEastAsia" w:eastAsia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设计机械臂断电后套筒、定位器和机械臂均可与患者顺畅分离</w:t>
            </w:r>
          </w:p>
          <w:p>
            <w:pPr>
              <w:widowControl/>
              <w:spacing w:line="240" w:lineRule="auto"/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在风险评估和控制记录H</w:t>
            </w:r>
            <w:r>
              <w:rPr>
                <w:rFonts w:asciiTheme="minorEastAsia" w:hAnsiTheme="minorEastAsia" w:eastAsiaTheme="minorEastAsia"/>
                <w:color w:val="000000"/>
                <w:sz w:val="21"/>
                <w:szCs w:val="21"/>
              </w:rPr>
              <w:t>289</w:t>
            </w:r>
            <w:r>
              <w:rPr>
                <w:rFonts w:hint="eastAsia" w:asciiTheme="minorEastAsia" w:hAnsiTheme="minorEastAsia" w:eastAsiaTheme="minorEastAsia"/>
                <w:color w:val="000000"/>
                <w:sz w:val="21"/>
                <w:szCs w:val="21"/>
              </w:rPr>
              <w:t>追踪并关闭风险</w:t>
            </w:r>
          </w:p>
        </w:tc>
      </w:tr>
    </w:tbl>
    <w:p>
      <w:pPr>
        <w:rPr>
          <w:rFonts w:ascii="宋体" w:hAnsi="宋体" w:cs="宋体"/>
          <w:sz w:val="24"/>
        </w:rPr>
      </w:pPr>
    </w:p>
    <w:sectPr>
      <w:headerReference r:id="rId5" w:type="default"/>
      <w:footerReference r:id="rId6" w:type="default"/>
      <w:pgSz w:w="11906" w:h="16838"/>
      <w:pgMar w:top="1417" w:right="1800" w:bottom="850" w:left="1800" w:header="851" w:footer="283" w:gutter="0"/>
      <w:pgNumType w:start="1"/>
      <w:cols w:space="0" w:num="1"/>
      <w:docGrid w:type="lines" w:linePitch="38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Regular">
    <w:altName w:val="等线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left" w:pos="3013"/>
        <w:tab w:val="clear" w:pos="4153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single" w:color="auto" w:sz="6" w:space="1"/>
      </w:pBdr>
      <w:snapToGrid w:val="0"/>
      <w:spacing w:line="240" w:lineRule="auto"/>
      <w:textAlignment w:val="center"/>
      <w:rPr>
        <w:sz w:val="18"/>
        <w:szCs w:val="18"/>
      </w:rPr>
    </w:pPr>
    <w:r>
      <w:rPr>
        <w:rFonts w:ascii="Times New Roman" w:hAnsi="Times New Roman" w:cs="Times New Roman"/>
        <w:sz w:val="18"/>
        <w:szCs w:val="18"/>
        <w:lang w:bidi="ar"/>
      </w:rPr>
      <w:drawing>
        <wp:inline distT="0" distB="0" distL="114300" distR="114300">
          <wp:extent cx="2077085" cy="311785"/>
          <wp:effectExtent l="0" t="0" r="18415" b="12065"/>
          <wp:docPr id="14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7085" cy="311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32"/>
      </w:rPr>
      <w:t xml:space="preserve">    </w:t>
    </w:r>
  </w:p>
  <w:p>
    <w:pPr>
      <w:pStyle w:val="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4F8BB"/>
    <w:multiLevelType w:val="multilevel"/>
    <w:tmpl w:val="D9B4F8BB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5"/>
      <w:isLgl/>
      <w:lvlText w:val="%1.%2.%3"/>
      <w:lvlJc w:val="left"/>
      <w:pPr>
        <w:ind w:left="833" w:hanging="833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4407" w:hanging="864"/>
      </w:p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90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00037C"/>
    <w:rsid w:val="00024F0E"/>
    <w:rsid w:val="0002653B"/>
    <w:rsid w:val="00036A75"/>
    <w:rsid w:val="00084374"/>
    <w:rsid w:val="00094584"/>
    <w:rsid w:val="000A2DED"/>
    <w:rsid w:val="000A78A4"/>
    <w:rsid w:val="000C7601"/>
    <w:rsid w:val="000D1DD7"/>
    <w:rsid w:val="000D2E3A"/>
    <w:rsid w:val="000E5355"/>
    <w:rsid w:val="000F2065"/>
    <w:rsid w:val="000F29CC"/>
    <w:rsid w:val="00100777"/>
    <w:rsid w:val="00114110"/>
    <w:rsid w:val="001428E5"/>
    <w:rsid w:val="00154F01"/>
    <w:rsid w:val="00161F1A"/>
    <w:rsid w:val="00176D69"/>
    <w:rsid w:val="00195ECB"/>
    <w:rsid w:val="001A141E"/>
    <w:rsid w:val="001A33C6"/>
    <w:rsid w:val="001A6428"/>
    <w:rsid w:val="001B0077"/>
    <w:rsid w:val="001E1B71"/>
    <w:rsid w:val="001F66D9"/>
    <w:rsid w:val="002026A4"/>
    <w:rsid w:val="00203938"/>
    <w:rsid w:val="00241813"/>
    <w:rsid w:val="00246BC1"/>
    <w:rsid w:val="00251B12"/>
    <w:rsid w:val="00253555"/>
    <w:rsid w:val="00295D7C"/>
    <w:rsid w:val="002A0B05"/>
    <w:rsid w:val="002D5124"/>
    <w:rsid w:val="002E2080"/>
    <w:rsid w:val="002E7971"/>
    <w:rsid w:val="0030644E"/>
    <w:rsid w:val="00365BB2"/>
    <w:rsid w:val="00377DA2"/>
    <w:rsid w:val="00395B81"/>
    <w:rsid w:val="003A706F"/>
    <w:rsid w:val="003D152F"/>
    <w:rsid w:val="003D3C6B"/>
    <w:rsid w:val="003E3071"/>
    <w:rsid w:val="003E72D4"/>
    <w:rsid w:val="003E7DD5"/>
    <w:rsid w:val="004405BD"/>
    <w:rsid w:val="00442E08"/>
    <w:rsid w:val="00450027"/>
    <w:rsid w:val="00466035"/>
    <w:rsid w:val="004779E3"/>
    <w:rsid w:val="004B7016"/>
    <w:rsid w:val="004C66CA"/>
    <w:rsid w:val="004D74BC"/>
    <w:rsid w:val="004F5490"/>
    <w:rsid w:val="0050542E"/>
    <w:rsid w:val="00520C79"/>
    <w:rsid w:val="00521F5E"/>
    <w:rsid w:val="00525711"/>
    <w:rsid w:val="00535BB5"/>
    <w:rsid w:val="00542D88"/>
    <w:rsid w:val="005679D1"/>
    <w:rsid w:val="00570861"/>
    <w:rsid w:val="0057350C"/>
    <w:rsid w:val="00583D5A"/>
    <w:rsid w:val="005860D7"/>
    <w:rsid w:val="005C2DD8"/>
    <w:rsid w:val="005E27DF"/>
    <w:rsid w:val="005F1C81"/>
    <w:rsid w:val="00613F53"/>
    <w:rsid w:val="00641043"/>
    <w:rsid w:val="00644788"/>
    <w:rsid w:val="006578A9"/>
    <w:rsid w:val="00690F41"/>
    <w:rsid w:val="006C1CA5"/>
    <w:rsid w:val="006D43AE"/>
    <w:rsid w:val="00713512"/>
    <w:rsid w:val="0071676B"/>
    <w:rsid w:val="00754AB5"/>
    <w:rsid w:val="00764B13"/>
    <w:rsid w:val="00770EA9"/>
    <w:rsid w:val="007720C4"/>
    <w:rsid w:val="007820ED"/>
    <w:rsid w:val="007913F2"/>
    <w:rsid w:val="007A37D8"/>
    <w:rsid w:val="007A6082"/>
    <w:rsid w:val="007C6D59"/>
    <w:rsid w:val="00801878"/>
    <w:rsid w:val="0081164B"/>
    <w:rsid w:val="00813064"/>
    <w:rsid w:val="00863389"/>
    <w:rsid w:val="008A767A"/>
    <w:rsid w:val="008A76D6"/>
    <w:rsid w:val="008B7BFB"/>
    <w:rsid w:val="008C646E"/>
    <w:rsid w:val="008D26C1"/>
    <w:rsid w:val="008E0222"/>
    <w:rsid w:val="008F258C"/>
    <w:rsid w:val="00903575"/>
    <w:rsid w:val="009068A2"/>
    <w:rsid w:val="009503BB"/>
    <w:rsid w:val="009514C9"/>
    <w:rsid w:val="00951C47"/>
    <w:rsid w:val="0096536C"/>
    <w:rsid w:val="00967516"/>
    <w:rsid w:val="00976C24"/>
    <w:rsid w:val="009B4357"/>
    <w:rsid w:val="009E1E46"/>
    <w:rsid w:val="009E5328"/>
    <w:rsid w:val="009E69D8"/>
    <w:rsid w:val="00A078BD"/>
    <w:rsid w:val="00A13338"/>
    <w:rsid w:val="00A37CD4"/>
    <w:rsid w:val="00A75EAA"/>
    <w:rsid w:val="00A84004"/>
    <w:rsid w:val="00AB0A1B"/>
    <w:rsid w:val="00AB29A2"/>
    <w:rsid w:val="00AB6299"/>
    <w:rsid w:val="00AB6F38"/>
    <w:rsid w:val="00AC3209"/>
    <w:rsid w:val="00AE0B47"/>
    <w:rsid w:val="00B201B8"/>
    <w:rsid w:val="00B3255C"/>
    <w:rsid w:val="00B37B89"/>
    <w:rsid w:val="00B574F2"/>
    <w:rsid w:val="00B61616"/>
    <w:rsid w:val="00B72438"/>
    <w:rsid w:val="00B77F74"/>
    <w:rsid w:val="00B86D30"/>
    <w:rsid w:val="00B94C9D"/>
    <w:rsid w:val="00BF178F"/>
    <w:rsid w:val="00C43298"/>
    <w:rsid w:val="00C56204"/>
    <w:rsid w:val="00C61AEE"/>
    <w:rsid w:val="00C62AA1"/>
    <w:rsid w:val="00C914CA"/>
    <w:rsid w:val="00C91AA2"/>
    <w:rsid w:val="00CA2ED9"/>
    <w:rsid w:val="00CA4161"/>
    <w:rsid w:val="00CD384B"/>
    <w:rsid w:val="00CE7525"/>
    <w:rsid w:val="00CF317D"/>
    <w:rsid w:val="00D30AE5"/>
    <w:rsid w:val="00D317F2"/>
    <w:rsid w:val="00D31FDF"/>
    <w:rsid w:val="00D4799E"/>
    <w:rsid w:val="00D67B8C"/>
    <w:rsid w:val="00D83D7F"/>
    <w:rsid w:val="00D8553B"/>
    <w:rsid w:val="00DA1491"/>
    <w:rsid w:val="00DB3CBB"/>
    <w:rsid w:val="00DD59B9"/>
    <w:rsid w:val="00DD5A03"/>
    <w:rsid w:val="00DF0712"/>
    <w:rsid w:val="00DF30FB"/>
    <w:rsid w:val="00E06A02"/>
    <w:rsid w:val="00E514C5"/>
    <w:rsid w:val="00E56C2B"/>
    <w:rsid w:val="00E71355"/>
    <w:rsid w:val="00E74293"/>
    <w:rsid w:val="00E7570F"/>
    <w:rsid w:val="00E95A74"/>
    <w:rsid w:val="00EB671C"/>
    <w:rsid w:val="00ED4CC4"/>
    <w:rsid w:val="00F04EEB"/>
    <w:rsid w:val="00F20F95"/>
    <w:rsid w:val="00F31891"/>
    <w:rsid w:val="00F552DB"/>
    <w:rsid w:val="00F6106E"/>
    <w:rsid w:val="00F84B19"/>
    <w:rsid w:val="00F92B28"/>
    <w:rsid w:val="00FA009F"/>
    <w:rsid w:val="00FC1D29"/>
    <w:rsid w:val="00FC2597"/>
    <w:rsid w:val="00FD3BA0"/>
    <w:rsid w:val="00FE6C86"/>
    <w:rsid w:val="00FF276E"/>
    <w:rsid w:val="016519ED"/>
    <w:rsid w:val="01993FD6"/>
    <w:rsid w:val="01D67EAB"/>
    <w:rsid w:val="01E97321"/>
    <w:rsid w:val="025A6DA7"/>
    <w:rsid w:val="02644ACE"/>
    <w:rsid w:val="026D5FC2"/>
    <w:rsid w:val="02707336"/>
    <w:rsid w:val="02AB0636"/>
    <w:rsid w:val="02F80881"/>
    <w:rsid w:val="033739F5"/>
    <w:rsid w:val="03377BF0"/>
    <w:rsid w:val="040344C3"/>
    <w:rsid w:val="049A3EE5"/>
    <w:rsid w:val="04CA4BB5"/>
    <w:rsid w:val="04DF0030"/>
    <w:rsid w:val="05032A18"/>
    <w:rsid w:val="058805D0"/>
    <w:rsid w:val="05884AC3"/>
    <w:rsid w:val="05CB5F07"/>
    <w:rsid w:val="05F46DF6"/>
    <w:rsid w:val="064C693C"/>
    <w:rsid w:val="066C1F8B"/>
    <w:rsid w:val="06A150FE"/>
    <w:rsid w:val="06B21345"/>
    <w:rsid w:val="06B57809"/>
    <w:rsid w:val="06BF1533"/>
    <w:rsid w:val="074245F9"/>
    <w:rsid w:val="0760504D"/>
    <w:rsid w:val="079668B7"/>
    <w:rsid w:val="085D13B5"/>
    <w:rsid w:val="08657AB8"/>
    <w:rsid w:val="08945E89"/>
    <w:rsid w:val="08B11E84"/>
    <w:rsid w:val="091655D1"/>
    <w:rsid w:val="093740A1"/>
    <w:rsid w:val="09742D5F"/>
    <w:rsid w:val="09BB5BCC"/>
    <w:rsid w:val="09BF382C"/>
    <w:rsid w:val="0A65416C"/>
    <w:rsid w:val="0B375F8F"/>
    <w:rsid w:val="0B514627"/>
    <w:rsid w:val="0BB928C2"/>
    <w:rsid w:val="0BBA4D65"/>
    <w:rsid w:val="0BE6623D"/>
    <w:rsid w:val="0BE706ED"/>
    <w:rsid w:val="0CBD67C8"/>
    <w:rsid w:val="0CE3541D"/>
    <w:rsid w:val="0D14789D"/>
    <w:rsid w:val="0D225423"/>
    <w:rsid w:val="0D380D3F"/>
    <w:rsid w:val="0DB875C6"/>
    <w:rsid w:val="0E055BEC"/>
    <w:rsid w:val="0E2741A3"/>
    <w:rsid w:val="0E2F5460"/>
    <w:rsid w:val="0F525587"/>
    <w:rsid w:val="0F7F41C8"/>
    <w:rsid w:val="102B2D19"/>
    <w:rsid w:val="10A12DA0"/>
    <w:rsid w:val="10AD4E23"/>
    <w:rsid w:val="114E320A"/>
    <w:rsid w:val="115019C2"/>
    <w:rsid w:val="11520F72"/>
    <w:rsid w:val="11595ECB"/>
    <w:rsid w:val="117A794E"/>
    <w:rsid w:val="1186401F"/>
    <w:rsid w:val="119B4F8B"/>
    <w:rsid w:val="12621206"/>
    <w:rsid w:val="128812A8"/>
    <w:rsid w:val="12C845D2"/>
    <w:rsid w:val="12F310B8"/>
    <w:rsid w:val="1303162E"/>
    <w:rsid w:val="132604F3"/>
    <w:rsid w:val="1336788D"/>
    <w:rsid w:val="141E2224"/>
    <w:rsid w:val="14401B9A"/>
    <w:rsid w:val="14DA716B"/>
    <w:rsid w:val="157A3F5A"/>
    <w:rsid w:val="15835095"/>
    <w:rsid w:val="16487643"/>
    <w:rsid w:val="172F3B96"/>
    <w:rsid w:val="17370A93"/>
    <w:rsid w:val="17B6703A"/>
    <w:rsid w:val="17C05B06"/>
    <w:rsid w:val="17E115D7"/>
    <w:rsid w:val="17F51C94"/>
    <w:rsid w:val="18785FB9"/>
    <w:rsid w:val="18BA0EDE"/>
    <w:rsid w:val="19751FE8"/>
    <w:rsid w:val="19F22CD1"/>
    <w:rsid w:val="1A4174F7"/>
    <w:rsid w:val="1B445FE4"/>
    <w:rsid w:val="1BEE20BE"/>
    <w:rsid w:val="1C0511FA"/>
    <w:rsid w:val="1C4A1B3F"/>
    <w:rsid w:val="1C6C5911"/>
    <w:rsid w:val="1CA3053F"/>
    <w:rsid w:val="1CAC44F0"/>
    <w:rsid w:val="1CBA5358"/>
    <w:rsid w:val="1D6660A0"/>
    <w:rsid w:val="1DC8166F"/>
    <w:rsid w:val="1EB66CE1"/>
    <w:rsid w:val="1EC46C87"/>
    <w:rsid w:val="1EC9735C"/>
    <w:rsid w:val="1EE86F0A"/>
    <w:rsid w:val="1EF9187A"/>
    <w:rsid w:val="1F2252EC"/>
    <w:rsid w:val="1F7229C9"/>
    <w:rsid w:val="1FE5702B"/>
    <w:rsid w:val="202F5F60"/>
    <w:rsid w:val="204602C1"/>
    <w:rsid w:val="20A26147"/>
    <w:rsid w:val="22064C83"/>
    <w:rsid w:val="22164095"/>
    <w:rsid w:val="22330B50"/>
    <w:rsid w:val="225F5B8E"/>
    <w:rsid w:val="22F93A8C"/>
    <w:rsid w:val="23D729E7"/>
    <w:rsid w:val="24261EA7"/>
    <w:rsid w:val="24540CD2"/>
    <w:rsid w:val="24996EA2"/>
    <w:rsid w:val="24A27F99"/>
    <w:rsid w:val="25C42F68"/>
    <w:rsid w:val="26753261"/>
    <w:rsid w:val="27017B1B"/>
    <w:rsid w:val="271E3F5C"/>
    <w:rsid w:val="27434EF3"/>
    <w:rsid w:val="285F5832"/>
    <w:rsid w:val="287232B7"/>
    <w:rsid w:val="29154C2F"/>
    <w:rsid w:val="29172EEC"/>
    <w:rsid w:val="2AB71C38"/>
    <w:rsid w:val="2ABB636F"/>
    <w:rsid w:val="2AC45B60"/>
    <w:rsid w:val="2B3019DE"/>
    <w:rsid w:val="2B4206F9"/>
    <w:rsid w:val="2B557277"/>
    <w:rsid w:val="2BAB2848"/>
    <w:rsid w:val="2BB86DE5"/>
    <w:rsid w:val="2BCB5984"/>
    <w:rsid w:val="2C9921DB"/>
    <w:rsid w:val="2CCD2C66"/>
    <w:rsid w:val="2D61111D"/>
    <w:rsid w:val="2D7A1034"/>
    <w:rsid w:val="2D825394"/>
    <w:rsid w:val="2DD54680"/>
    <w:rsid w:val="2DE10445"/>
    <w:rsid w:val="2DFA09C5"/>
    <w:rsid w:val="2E5D21FC"/>
    <w:rsid w:val="2EFE2BCC"/>
    <w:rsid w:val="2F2507F1"/>
    <w:rsid w:val="2F27081C"/>
    <w:rsid w:val="2F660218"/>
    <w:rsid w:val="300D659C"/>
    <w:rsid w:val="30473813"/>
    <w:rsid w:val="30994AEF"/>
    <w:rsid w:val="310A1392"/>
    <w:rsid w:val="31332561"/>
    <w:rsid w:val="325D23A1"/>
    <w:rsid w:val="334447D4"/>
    <w:rsid w:val="33621EB8"/>
    <w:rsid w:val="33740094"/>
    <w:rsid w:val="33997CFE"/>
    <w:rsid w:val="33AA484A"/>
    <w:rsid w:val="34583831"/>
    <w:rsid w:val="34781801"/>
    <w:rsid w:val="34F51A38"/>
    <w:rsid w:val="355412C6"/>
    <w:rsid w:val="35F63001"/>
    <w:rsid w:val="366A584F"/>
    <w:rsid w:val="3683146A"/>
    <w:rsid w:val="36D64F73"/>
    <w:rsid w:val="37560A59"/>
    <w:rsid w:val="37612E17"/>
    <w:rsid w:val="37907C8C"/>
    <w:rsid w:val="37A27ABA"/>
    <w:rsid w:val="37B77E66"/>
    <w:rsid w:val="37D0077B"/>
    <w:rsid w:val="38507CC5"/>
    <w:rsid w:val="38814854"/>
    <w:rsid w:val="391509CE"/>
    <w:rsid w:val="398B27E3"/>
    <w:rsid w:val="399B3711"/>
    <w:rsid w:val="39B5645A"/>
    <w:rsid w:val="39EB205A"/>
    <w:rsid w:val="3A0C259D"/>
    <w:rsid w:val="3A1D45CF"/>
    <w:rsid w:val="3A6A4E00"/>
    <w:rsid w:val="3AA04502"/>
    <w:rsid w:val="3B826790"/>
    <w:rsid w:val="3BE94353"/>
    <w:rsid w:val="3CEF07DF"/>
    <w:rsid w:val="3CF74DE3"/>
    <w:rsid w:val="3D3B6DCA"/>
    <w:rsid w:val="3D4D3A52"/>
    <w:rsid w:val="3D6A3215"/>
    <w:rsid w:val="3DC207C2"/>
    <w:rsid w:val="3DD92D04"/>
    <w:rsid w:val="3EBC2DD4"/>
    <w:rsid w:val="3ED26F1E"/>
    <w:rsid w:val="3EEF5EE4"/>
    <w:rsid w:val="3F093D11"/>
    <w:rsid w:val="3F9E2EF4"/>
    <w:rsid w:val="406341C0"/>
    <w:rsid w:val="40946FA0"/>
    <w:rsid w:val="40AC69BA"/>
    <w:rsid w:val="40E2300C"/>
    <w:rsid w:val="41455303"/>
    <w:rsid w:val="414B41E7"/>
    <w:rsid w:val="419E2CA6"/>
    <w:rsid w:val="41E43209"/>
    <w:rsid w:val="41F66028"/>
    <w:rsid w:val="420C30E4"/>
    <w:rsid w:val="422E6E78"/>
    <w:rsid w:val="425D4E3D"/>
    <w:rsid w:val="426C25E4"/>
    <w:rsid w:val="42B13934"/>
    <w:rsid w:val="42B44BCC"/>
    <w:rsid w:val="42CF3399"/>
    <w:rsid w:val="448E2DB4"/>
    <w:rsid w:val="44996699"/>
    <w:rsid w:val="44DF1658"/>
    <w:rsid w:val="455A17F2"/>
    <w:rsid w:val="458A240E"/>
    <w:rsid w:val="459812A8"/>
    <w:rsid w:val="45CF7AFA"/>
    <w:rsid w:val="45DB5CF9"/>
    <w:rsid w:val="46160BBC"/>
    <w:rsid w:val="46475912"/>
    <w:rsid w:val="46CA75A6"/>
    <w:rsid w:val="46EA652B"/>
    <w:rsid w:val="470E7B6C"/>
    <w:rsid w:val="477A520A"/>
    <w:rsid w:val="48121F78"/>
    <w:rsid w:val="486D7E1A"/>
    <w:rsid w:val="48BF1991"/>
    <w:rsid w:val="48F92351"/>
    <w:rsid w:val="490B3A20"/>
    <w:rsid w:val="492A24C2"/>
    <w:rsid w:val="494F0499"/>
    <w:rsid w:val="497475F9"/>
    <w:rsid w:val="49D1162D"/>
    <w:rsid w:val="49DF02FD"/>
    <w:rsid w:val="4A02012A"/>
    <w:rsid w:val="4B362A6E"/>
    <w:rsid w:val="4B5A4478"/>
    <w:rsid w:val="4B8B07CC"/>
    <w:rsid w:val="4BE72442"/>
    <w:rsid w:val="4C477BE0"/>
    <w:rsid w:val="4C49249F"/>
    <w:rsid w:val="4C811E19"/>
    <w:rsid w:val="4CB73418"/>
    <w:rsid w:val="4D532085"/>
    <w:rsid w:val="4D7C3C63"/>
    <w:rsid w:val="4DAA171B"/>
    <w:rsid w:val="4E154088"/>
    <w:rsid w:val="4E6D7955"/>
    <w:rsid w:val="4E8E3948"/>
    <w:rsid w:val="4E914C14"/>
    <w:rsid w:val="4F3116AB"/>
    <w:rsid w:val="4F4F46AB"/>
    <w:rsid w:val="4F795038"/>
    <w:rsid w:val="4F96578E"/>
    <w:rsid w:val="50326052"/>
    <w:rsid w:val="508F4619"/>
    <w:rsid w:val="50977FF8"/>
    <w:rsid w:val="510D1B4F"/>
    <w:rsid w:val="513F460A"/>
    <w:rsid w:val="51936894"/>
    <w:rsid w:val="51B8140F"/>
    <w:rsid w:val="524609DF"/>
    <w:rsid w:val="524F59DC"/>
    <w:rsid w:val="52675ECE"/>
    <w:rsid w:val="529F58A7"/>
    <w:rsid w:val="52FA58EC"/>
    <w:rsid w:val="53D50FCE"/>
    <w:rsid w:val="53D852B7"/>
    <w:rsid w:val="540D6A16"/>
    <w:rsid w:val="54BA5742"/>
    <w:rsid w:val="55437CB7"/>
    <w:rsid w:val="56153EBD"/>
    <w:rsid w:val="57060B39"/>
    <w:rsid w:val="5720228F"/>
    <w:rsid w:val="583536F4"/>
    <w:rsid w:val="583B221A"/>
    <w:rsid w:val="5865469B"/>
    <w:rsid w:val="587368DE"/>
    <w:rsid w:val="588258B0"/>
    <w:rsid w:val="59946335"/>
    <w:rsid w:val="599E1006"/>
    <w:rsid w:val="5A131264"/>
    <w:rsid w:val="5AB301E0"/>
    <w:rsid w:val="5AF32D0E"/>
    <w:rsid w:val="5AFC0BEC"/>
    <w:rsid w:val="5AFE08DF"/>
    <w:rsid w:val="5B1477D4"/>
    <w:rsid w:val="5B6A257E"/>
    <w:rsid w:val="5B7D3379"/>
    <w:rsid w:val="5BD63961"/>
    <w:rsid w:val="5BE7781C"/>
    <w:rsid w:val="5DC44D86"/>
    <w:rsid w:val="5DF23EF8"/>
    <w:rsid w:val="5E8720EC"/>
    <w:rsid w:val="5F3077AA"/>
    <w:rsid w:val="5F483205"/>
    <w:rsid w:val="5F774714"/>
    <w:rsid w:val="5FB81FB6"/>
    <w:rsid w:val="5FDF06B8"/>
    <w:rsid w:val="601B2A12"/>
    <w:rsid w:val="60547BD1"/>
    <w:rsid w:val="60776426"/>
    <w:rsid w:val="60D863B7"/>
    <w:rsid w:val="60DC4E7C"/>
    <w:rsid w:val="60E46730"/>
    <w:rsid w:val="611B2710"/>
    <w:rsid w:val="614444B2"/>
    <w:rsid w:val="62015D60"/>
    <w:rsid w:val="624F2853"/>
    <w:rsid w:val="627658E4"/>
    <w:rsid w:val="64322884"/>
    <w:rsid w:val="64377174"/>
    <w:rsid w:val="6486032C"/>
    <w:rsid w:val="64910F5E"/>
    <w:rsid w:val="64CF6AEE"/>
    <w:rsid w:val="65B07C77"/>
    <w:rsid w:val="667F0D60"/>
    <w:rsid w:val="66812C27"/>
    <w:rsid w:val="66CD3CB3"/>
    <w:rsid w:val="66E466AC"/>
    <w:rsid w:val="66EE10C9"/>
    <w:rsid w:val="671715BA"/>
    <w:rsid w:val="6720709C"/>
    <w:rsid w:val="67573E35"/>
    <w:rsid w:val="67C6704D"/>
    <w:rsid w:val="681763D2"/>
    <w:rsid w:val="68837AC6"/>
    <w:rsid w:val="68D50AD5"/>
    <w:rsid w:val="69077CF3"/>
    <w:rsid w:val="693C3B21"/>
    <w:rsid w:val="694B712D"/>
    <w:rsid w:val="69677250"/>
    <w:rsid w:val="69E949A3"/>
    <w:rsid w:val="6A0D2910"/>
    <w:rsid w:val="6AD72851"/>
    <w:rsid w:val="6B5A5D8D"/>
    <w:rsid w:val="6BE157FF"/>
    <w:rsid w:val="6C0B71D2"/>
    <w:rsid w:val="6C6E34BB"/>
    <w:rsid w:val="6C8639E2"/>
    <w:rsid w:val="6D050ADB"/>
    <w:rsid w:val="6D5F31A0"/>
    <w:rsid w:val="6D976FEF"/>
    <w:rsid w:val="6DDE6EA2"/>
    <w:rsid w:val="6E9351C1"/>
    <w:rsid w:val="6F250974"/>
    <w:rsid w:val="6F425277"/>
    <w:rsid w:val="6F457191"/>
    <w:rsid w:val="6F6B355A"/>
    <w:rsid w:val="7008444B"/>
    <w:rsid w:val="70334C0E"/>
    <w:rsid w:val="7044032E"/>
    <w:rsid w:val="70A80AE8"/>
    <w:rsid w:val="715C1FAC"/>
    <w:rsid w:val="716A7732"/>
    <w:rsid w:val="723E5B00"/>
    <w:rsid w:val="72AF4744"/>
    <w:rsid w:val="73000A7B"/>
    <w:rsid w:val="73A525A7"/>
    <w:rsid w:val="73CC74DB"/>
    <w:rsid w:val="73CF0E5E"/>
    <w:rsid w:val="73DC61E0"/>
    <w:rsid w:val="73FC653F"/>
    <w:rsid w:val="7479295D"/>
    <w:rsid w:val="74AB408C"/>
    <w:rsid w:val="74DC704C"/>
    <w:rsid w:val="74EB508F"/>
    <w:rsid w:val="74F21DB9"/>
    <w:rsid w:val="755C426C"/>
    <w:rsid w:val="75B754E7"/>
    <w:rsid w:val="75C84D63"/>
    <w:rsid w:val="75DE5FD3"/>
    <w:rsid w:val="76040CA7"/>
    <w:rsid w:val="76AF189E"/>
    <w:rsid w:val="776C0048"/>
    <w:rsid w:val="77B35E42"/>
    <w:rsid w:val="77B94CA8"/>
    <w:rsid w:val="77E86264"/>
    <w:rsid w:val="78034553"/>
    <w:rsid w:val="78225D97"/>
    <w:rsid w:val="78507C38"/>
    <w:rsid w:val="787A5666"/>
    <w:rsid w:val="78B236E4"/>
    <w:rsid w:val="78C6556E"/>
    <w:rsid w:val="78E06A82"/>
    <w:rsid w:val="79077C59"/>
    <w:rsid w:val="790E7842"/>
    <w:rsid w:val="790F44C2"/>
    <w:rsid w:val="793F0A11"/>
    <w:rsid w:val="79DD2BDF"/>
    <w:rsid w:val="7A485CA4"/>
    <w:rsid w:val="7A602205"/>
    <w:rsid w:val="7ABF68AF"/>
    <w:rsid w:val="7B6902D6"/>
    <w:rsid w:val="7BC6610D"/>
    <w:rsid w:val="7BD134CC"/>
    <w:rsid w:val="7C333EDD"/>
    <w:rsid w:val="7C3619EE"/>
    <w:rsid w:val="7C6C243B"/>
    <w:rsid w:val="7C9537CE"/>
    <w:rsid w:val="7C977CED"/>
    <w:rsid w:val="7C9B5943"/>
    <w:rsid w:val="7D521DBC"/>
    <w:rsid w:val="7E626F25"/>
    <w:rsid w:val="7E762947"/>
    <w:rsid w:val="7E7B28C7"/>
    <w:rsid w:val="7E7F226F"/>
    <w:rsid w:val="7E85156B"/>
    <w:rsid w:val="7E9569B2"/>
    <w:rsid w:val="7F6B396F"/>
    <w:rsid w:val="7F7D54FA"/>
    <w:rsid w:val="7FB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 w:line="240" w:lineRule="auto"/>
      <w:ind w:left="1440" w:leftChars="700" w:right="700" w:rightChars="700"/>
    </w:pPr>
    <w:rPr>
      <w:rFonts w:ascii="Times New Roman" w:hAnsi="Times New Roman" w:cs="Times New Roman"/>
      <w:sz w:val="21"/>
      <w:szCs w:val="22"/>
    </w:r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7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basedOn w:val="1"/>
    <w:semiHidden/>
    <w:unhideWhenUsed/>
    <w:qFormat/>
    <w:uiPriority w:val="0"/>
    <w:rPr>
      <w:sz w:val="24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page number"/>
    <w:basedOn w:val="22"/>
    <w:qFormat/>
    <w:uiPriority w:val="0"/>
  </w:style>
  <w:style w:type="character" w:styleId="24">
    <w:name w:val="annotation reference"/>
    <w:basedOn w:val="22"/>
    <w:semiHidden/>
    <w:unhideWhenUsed/>
    <w:qFormat/>
    <w:uiPriority w:val="99"/>
    <w:rPr>
      <w:sz w:val="21"/>
      <w:szCs w:val="21"/>
    </w:rPr>
  </w:style>
  <w:style w:type="paragraph" w:customStyle="1" w:styleId="25">
    <w:name w:val="WPSOffice手动目录 1"/>
    <w:qFormat/>
    <w:uiPriority w:val="0"/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6">
    <w:name w:val="WPSOffice手动目录 2"/>
    <w:qFormat/>
    <w:uiPriority w:val="0"/>
    <w:pPr>
      <w:ind w:left="200" w:leftChars="200"/>
    </w:pPr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7">
    <w:name w:val="WPSOffice手动目录 3"/>
    <w:qFormat/>
    <w:uiPriority w:val="0"/>
    <w:pPr>
      <w:ind w:left="400" w:leftChars="400"/>
    </w:pPr>
    <w:rPr>
      <w:rFonts w:eastAsia="微软雅黑" w:asciiTheme="minorHAnsi" w:hAnsiTheme="minorHAnsi" w:cstheme="minorBidi"/>
      <w:lang w:val="en-US" w:eastAsia="zh-CN" w:bidi="ar-SA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32</Pages>
  <Words>11073</Words>
  <Characters>11866</Characters>
  <Lines>125</Lines>
  <Paragraphs>35</Paragraphs>
  <TotalTime>1</TotalTime>
  <ScaleCrop>false</ScaleCrop>
  <LinksUpToDate>false</LinksUpToDate>
  <CharactersWithSpaces>11977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2021-12-29T01:30:00Z</cp:lastPrinted>
  <dcterms:modified xsi:type="dcterms:W3CDTF">2024-03-12T09:30:49Z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4CF5060ABB7B43D8BB132DC2115985C2</vt:lpwstr>
  </property>
</Properties>
</file>