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文件号：</w:t>
      </w:r>
      <w:r>
        <w:rPr>
          <w:rFonts w:ascii="微软雅黑" w:hAnsi="微软雅黑" w:eastAsia="微软雅黑" w:cs="微软雅黑"/>
          <w:color w:val="171A1D"/>
          <w:sz w:val="21"/>
          <w:szCs w:val="21"/>
          <w:shd w:val="clear" w:color="auto" w:fill="FFFFFF"/>
        </w:rPr>
        <w:t>MS-002</w:t>
      </w:r>
      <w:r>
        <w:rPr>
          <w:rFonts w:hint="eastAsia" w:ascii="微软雅黑" w:hAnsi="微软雅黑" w:eastAsia="微软雅黑" w:cs="微软雅黑"/>
          <w:color w:val="171A1D"/>
          <w:sz w:val="21"/>
          <w:szCs w:val="21"/>
          <w:shd w:val="clear" w:color="auto" w:fill="FFFFFF"/>
          <w:lang w:val="en-US" w:eastAsia="zh-CN"/>
        </w:rPr>
        <w:t>P</w:t>
      </w:r>
      <w:r>
        <w:rPr>
          <w:rFonts w:ascii="微软雅黑" w:hAnsi="微软雅黑" w:eastAsia="微软雅黑" w:cs="微软雅黑"/>
          <w:color w:val="171A1D"/>
          <w:sz w:val="21"/>
          <w:szCs w:val="21"/>
          <w:shd w:val="clear" w:color="auto" w:fill="FFFFFF"/>
        </w:rPr>
        <w:t>.10W0</w:t>
      </w:r>
      <w:r>
        <w:rPr>
          <w:rFonts w:hint="eastAsia" w:ascii="微软雅黑" w:hAnsi="微软雅黑" w:eastAsia="微软雅黑" w:cs="微软雅黑"/>
          <w:color w:val="171A1D"/>
          <w:sz w:val="21"/>
          <w:szCs w:val="21"/>
          <w:shd w:val="clear" w:color="auto" w:fill="FFFFFF"/>
          <w:lang w:val="en-US" w:eastAsia="zh-CN"/>
        </w:rPr>
        <w:t>06</w:t>
      </w: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hint="eastAsia" w:eastAsia="宋体" w:cs="Times New Roman"/>
          <w:b/>
          <w:bCs/>
          <w:sz w:val="52"/>
          <w:szCs w:val="52"/>
          <w:lang w:val="en-US" w:eastAsia="zh-CN"/>
        </w:rPr>
      </w:pPr>
      <w:r>
        <w:rPr>
          <w:rFonts w:hint="eastAsia" w:cs="Times New Roman"/>
          <w:b/>
          <w:bCs/>
          <w:sz w:val="52"/>
          <w:szCs w:val="52"/>
        </w:rPr>
        <w:t>骨科手术导航定位系统</w:t>
      </w:r>
    </w:p>
    <w:p>
      <w:pPr>
        <w:jc w:val="center"/>
        <w:rPr>
          <w:rFonts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</w:rPr>
        <w:t>可用性应用规范</w:t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产品型号：Navolution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 Pro</w:t>
      </w:r>
    </w:p>
    <w:p>
      <w:pPr>
        <w:rPr>
          <w:rFonts w:ascii="Times New Roman" w:hAnsi="Times New Roman" w:cs="Times New Roman"/>
        </w:rPr>
      </w:pPr>
      <w:bookmarkStart w:id="30" w:name="_GoBack"/>
      <w:bookmarkEnd w:id="3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1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编制/日期：</w:t>
            </w:r>
          </w:p>
        </w:tc>
        <w:tc>
          <w:tcPr>
            <w:tcW w:w="450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10二阶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洪洁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李明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hAnsi="宋体"/>
          <w:b/>
          <w:szCs w:val="21"/>
        </w:rPr>
        <w:t>杭州三坛医疗科技有限公司</w:t>
      </w:r>
    </w:p>
    <w:p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227"/>
        <w:gridCol w:w="3533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306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</w:t>
            </w:r>
            <w:r>
              <w:rPr>
                <w:rFonts w:ascii="Times New Roman" w:hAnsi="Times New Roman" w:cs="Times New Roman"/>
                <w:bCs/>
                <w:szCs w:val="21"/>
              </w:rPr>
              <w:t>/</w:t>
            </w:r>
            <w:r>
              <w:rPr>
                <w:rFonts w:ascii="Times New Roman" w:hAnsi="宋体" w:cs="Times New Roman"/>
                <w:bCs/>
                <w:szCs w:val="21"/>
              </w:rPr>
              <w:t>实施日期</w:t>
            </w:r>
          </w:p>
        </w:tc>
        <w:tc>
          <w:tcPr>
            <w:tcW w:w="2072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95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vanish/>
                <w:color w:val="0000FF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05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10</w:t>
            </w: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iCs/>
        </w:rPr>
      </w:pPr>
      <w:r>
        <w:rPr>
          <w:rFonts w:hint="eastAsia"/>
          <w:iCs/>
        </w:rPr>
        <w:t>文档仅限产品（项目）组内流转，违者负相应法律责任。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宋体" w:hAnsi="宋体"/>
          <w:sz w:val="24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4"/>
        </w:rPr>
      </w:sdtEndPr>
      <w:sdtContent>
        <w:p>
          <w:pPr>
            <w:spacing w:line="240" w:lineRule="auto"/>
            <w:jc w:val="center"/>
            <w:rPr>
              <w:rFonts w:ascii="宋体" w:hAnsi="宋体"/>
              <w:sz w:val="24"/>
            </w:rPr>
          </w:pPr>
        </w:p>
        <w:p>
          <w:pPr>
            <w:spacing w:line="288" w:lineRule="auto"/>
            <w:jc w:val="center"/>
            <w:rPr>
              <w:b/>
              <w:bCs/>
              <w:sz w:val="24"/>
            </w:rPr>
          </w:pPr>
          <w:r>
            <w:rPr>
              <w:rFonts w:ascii="宋体" w:hAnsi="宋体"/>
              <w:b/>
              <w:bCs/>
              <w:sz w:val="24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TOC \o "1-3" \h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_Toc29651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第一章 </w:t>
          </w:r>
          <w:r>
            <w:rPr>
              <w:rFonts w:hint="eastAsia"/>
              <w:szCs w:val="28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_Toc29651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1.1 </w:t>
          </w:r>
          <w:r>
            <w:rPr>
              <w:rFonts w:hint="eastAsia"/>
              <w:szCs w:val="28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_Toc32327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1.2 </w:t>
          </w:r>
          <w:r>
            <w:rPr>
              <w:rFonts w:hint="eastAsia"/>
              <w:szCs w:val="28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第二章 </w:t>
          </w:r>
          <w:r>
            <w:rPr>
              <w:rFonts w:hint="eastAsia"/>
              <w:szCs w:val="28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_Toc3538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第三章 </w:t>
          </w:r>
          <w:r>
            <w:rPr>
              <w:rFonts w:hint="eastAsia"/>
              <w:szCs w:val="28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_Toc26976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第四章 </w:t>
          </w:r>
          <w:r>
            <w:rPr>
              <w:rFonts w:hint="eastAsia"/>
              <w:szCs w:val="28"/>
            </w:rPr>
            <w:t>预期用途</w:t>
          </w:r>
          <w:r>
            <w:tab/>
          </w:r>
          <w:r>
            <w:fldChar w:fldCharType="begin"/>
          </w:r>
          <w:r>
            <w:instrText xml:space="preserve"> PAGEREF _Toc19910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hint="eastAsia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_Toc6165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hint="eastAsia"/>
            </w:rPr>
            <w:t>应用摘要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4.2.1 </w:t>
          </w:r>
          <w:r>
            <w:rPr>
              <w:rFonts w:hint="eastAsia"/>
            </w:rPr>
            <w:t>医学用途</w:t>
          </w:r>
          <w:r>
            <w:tab/>
          </w:r>
          <w:r>
            <w:fldChar w:fldCharType="begin"/>
          </w:r>
          <w:r>
            <w:instrText xml:space="preserve"> PAGEREF _Toc18188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4.2.2 </w:t>
          </w:r>
          <w:r>
            <w:rPr>
              <w:rFonts w:hint="eastAsia"/>
            </w:rPr>
            <w:t>患者群体</w:t>
          </w:r>
          <w:r>
            <w:tab/>
          </w:r>
          <w:r>
            <w:fldChar w:fldCharType="begin"/>
          </w:r>
          <w:r>
            <w:instrText xml:space="preserve"> PAGEREF _Toc31040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4.2.3 </w:t>
          </w:r>
          <w:r>
            <w:rPr>
              <w:rFonts w:hint="eastAsia"/>
            </w:rPr>
            <w:t>与之交互的人体部位或组织类型</w:t>
          </w:r>
          <w:r>
            <w:tab/>
          </w:r>
          <w:r>
            <w:fldChar w:fldCharType="begin"/>
          </w:r>
          <w:r>
            <w:instrText xml:space="preserve"> PAGEREF _Toc368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_Toc20841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4.2.4 </w:t>
          </w:r>
          <w:r>
            <w:rPr>
              <w:rFonts w:hint="eastAsia"/>
            </w:rPr>
            <w:t>预期用户</w:t>
          </w:r>
          <w:r>
            <w:tab/>
          </w:r>
          <w:r>
            <w:fldChar w:fldCharType="begin"/>
          </w:r>
          <w:r>
            <w:instrText xml:space="preserve"> PAGEREF _Toc20841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4.2.5 </w:t>
          </w:r>
          <w:r>
            <w:rPr>
              <w:rFonts w:hint="eastAsia"/>
            </w:rPr>
            <w:t>应用环境</w:t>
          </w:r>
          <w:r>
            <w:tab/>
          </w:r>
          <w:r>
            <w:fldChar w:fldCharType="begin"/>
          </w:r>
          <w:r>
            <w:instrText xml:space="preserve"> PAGEREF _Toc6416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4.2.6 </w:t>
          </w:r>
          <w:r>
            <w:rPr>
              <w:rFonts w:hint="eastAsia"/>
            </w:rPr>
            <w:t>使用频率</w:t>
          </w:r>
          <w:r>
            <w:tab/>
          </w:r>
          <w:r>
            <w:fldChar w:fldCharType="begin"/>
          </w:r>
          <w:r>
            <w:instrText xml:space="preserve"> PAGEREF _Toc2010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_Toc25837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4.2.7 </w:t>
          </w:r>
          <w:r>
            <w:rPr>
              <w:rFonts w:hint="eastAsia"/>
            </w:rPr>
            <w:t>移动性</w:t>
          </w:r>
          <w:r>
            <w:tab/>
          </w:r>
          <w:r>
            <w:fldChar w:fldCharType="begin"/>
          </w:r>
          <w:r>
            <w:instrText xml:space="preserve"> PAGEREF _Toc25837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第五章 </w:t>
          </w:r>
          <w:r>
            <w:rPr>
              <w:rFonts w:hint="eastAsia"/>
              <w:szCs w:val="28"/>
              <w:lang w:val="en-US" w:eastAsia="zh-CN"/>
            </w:rPr>
            <w:t>基本操作</w:t>
          </w:r>
          <w:r>
            <w:tab/>
          </w:r>
          <w:r>
            <w:fldChar w:fldCharType="begin"/>
          </w:r>
          <w:r>
            <w:instrText xml:space="preserve"> PAGEREF _Toc8524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5.1 </w:t>
          </w:r>
          <w:r>
            <w:rPr>
              <w:rFonts w:hint="eastAsia"/>
            </w:rPr>
            <w:t>常用功能</w:t>
          </w:r>
          <w:r>
            <w:tab/>
          </w:r>
          <w:r>
            <w:fldChar w:fldCharType="begin"/>
          </w:r>
          <w:r>
            <w:instrText xml:space="preserve"> PAGEREF _Toc16796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5.1.1 现场安装</w:t>
          </w:r>
          <w:r>
            <w:tab/>
          </w:r>
          <w:r>
            <w:fldChar w:fldCharType="begin"/>
          </w:r>
          <w:r>
            <w:instrText xml:space="preserve"> PAGEREF _Toc12244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5.1.2 启动设备</w:t>
          </w:r>
          <w:r>
            <w:tab/>
          </w:r>
          <w:r>
            <w:fldChar w:fldCharType="begin"/>
          </w:r>
          <w:r>
            <w:instrText xml:space="preserve"> PAGEREF _Toc18788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5.1.3 手术规划与执行</w:t>
          </w:r>
          <w:r>
            <w:tab/>
          </w:r>
          <w:r>
            <w:fldChar w:fldCharType="begin"/>
          </w:r>
          <w:r>
            <w:instrText xml:space="preserve"> PAGEREF _Toc6913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5.1.4 关闭设备</w:t>
          </w:r>
          <w:r>
            <w:tab/>
          </w:r>
          <w:r>
            <w:fldChar w:fldCharType="begin"/>
          </w:r>
          <w:r>
            <w:instrText xml:space="preserve"> PAGEREF _Toc10863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5.1.5 基于配准板的手眼标定和图像配准</w:t>
          </w:r>
          <w:r>
            <w:tab/>
          </w:r>
          <w:r>
            <w:fldChar w:fldCharType="begin"/>
          </w:r>
          <w:r>
            <w:instrText xml:space="preserve"> PAGEREF _Toc4547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5.1.6 执行台车按钮控制通道升降</w:t>
          </w:r>
          <w:r>
            <w:tab/>
          </w:r>
          <w:r>
            <w:fldChar w:fldCharType="begin"/>
          </w:r>
          <w:r>
            <w:instrText xml:space="preserve"> PAGEREF _Toc29596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5.1.7 工具灭菌</w:t>
          </w:r>
          <w:r>
            <w:tab/>
          </w:r>
          <w:r>
            <w:fldChar w:fldCharType="begin"/>
          </w:r>
          <w:r>
            <w:instrText xml:space="preserve"> PAGEREF _Toc15492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5.2 </w:t>
          </w:r>
          <w:r>
            <w:rPr>
              <w:rFonts w:hint="eastAsia"/>
            </w:rPr>
            <w:t>与安全有关的功能</w:t>
          </w:r>
          <w:r>
            <w:tab/>
          </w:r>
          <w:r>
            <w:fldChar w:fldCharType="begin"/>
          </w:r>
          <w:r>
            <w:instrText xml:space="preserve"> PAGEREF _Toc13478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_Toc14625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5.2.1 紧急停止</w:t>
          </w:r>
          <w:r>
            <w:tab/>
          </w:r>
          <w:r>
            <w:fldChar w:fldCharType="begin"/>
          </w:r>
          <w:r>
            <w:instrText xml:space="preserve"> PAGEREF _Toc14625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5.2.2 UPS供电</w:t>
          </w:r>
          <w:r>
            <w:tab/>
          </w:r>
          <w:r>
            <w:fldChar w:fldCharType="begin"/>
          </w:r>
          <w:r>
            <w:instrText xml:space="preserve"> PAGEREF _Toc29886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5.2.3 现场安装</w:t>
          </w:r>
          <w:r>
            <w:tab/>
          </w:r>
          <w:r>
            <w:fldChar w:fldCharType="begin"/>
          </w:r>
          <w:r>
            <w:instrText xml:space="preserve"> PAGEREF _Toc30634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5.2.4 手术规划与执行</w:t>
          </w:r>
          <w:r>
            <w:tab/>
          </w:r>
          <w:r>
            <w:fldChar w:fldCharType="begin"/>
          </w:r>
          <w:r>
            <w:instrText xml:space="preserve"> PAGEREF _Toc23249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5.2.5 执行台车按钮控制通道升降</w:t>
          </w:r>
          <w:r>
            <w:tab/>
          </w:r>
          <w:r>
            <w:fldChar w:fldCharType="begin"/>
          </w:r>
          <w:r>
            <w:instrText xml:space="preserve"> PAGEREF _Toc1544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pacing w:line="288" w:lineRule="auto"/>
            <w:rPr>
              <w:sz w:val="24"/>
            </w:r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start="1"/>
              <w:cols w:space="0" w:num="1"/>
              <w:docGrid w:type="lines" w:linePitch="380" w:charSpace="0"/>
            </w:sectPr>
          </w:pPr>
          <w:r>
            <w:fldChar w:fldCharType="end"/>
          </w:r>
        </w:p>
      </w:sdtContent>
    </w:sdt>
    <w:p>
      <w:pPr>
        <w:pStyle w:val="2"/>
        <w:jc w:val="both"/>
        <w:rPr>
          <w:sz w:val="28"/>
          <w:szCs w:val="28"/>
        </w:rPr>
      </w:pPr>
      <w:bookmarkStart w:id="0" w:name="_Toc29651"/>
      <w:r>
        <w:rPr>
          <w:rFonts w:hint="eastAsia"/>
          <w:sz w:val="28"/>
          <w:szCs w:val="28"/>
        </w:rPr>
        <w:t>引言</w:t>
      </w:r>
      <w:bookmarkEnd w:id="0"/>
    </w:p>
    <w:p>
      <w:pPr>
        <w:pStyle w:val="4"/>
        <w:rPr>
          <w:sz w:val="28"/>
          <w:szCs w:val="28"/>
        </w:rPr>
      </w:pPr>
      <w:bookmarkStart w:id="1" w:name="_Toc32327"/>
      <w:r>
        <w:rPr>
          <w:rFonts w:hint="eastAsia"/>
          <w:sz w:val="28"/>
          <w:szCs w:val="28"/>
        </w:rPr>
        <w:t>编写目的</w:t>
      </w:r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依照《可用性工程对医疗器械的应用》，编写骨科手术导航定位系统的《可用性应用规范》，用于识别与依赖器械使用有关的最重要的特征，并基于诸如预期医学适应证、预期患者群体和操作原则等因素，识别已知的和可预见的用户接口有关的危险(源)和危险情况。</w:t>
      </w:r>
    </w:p>
    <w:p>
      <w:pPr>
        <w:pStyle w:val="4"/>
        <w:rPr>
          <w:sz w:val="28"/>
          <w:szCs w:val="28"/>
        </w:rPr>
      </w:pPr>
      <w:bookmarkStart w:id="2" w:name="_Toc446"/>
      <w:r>
        <w:rPr>
          <w:rFonts w:hint="eastAsia"/>
          <w:sz w:val="28"/>
          <w:szCs w:val="28"/>
        </w:rPr>
        <w:t>适用范围</w:t>
      </w:r>
      <w:bookmarkEnd w:id="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适用于骨科手术导航定位系统的可用性规范的基础。</w:t>
      </w:r>
    </w:p>
    <w:p>
      <w:pPr>
        <w:pStyle w:val="2"/>
        <w:jc w:val="both"/>
        <w:rPr>
          <w:sz w:val="28"/>
          <w:szCs w:val="28"/>
        </w:rPr>
      </w:pPr>
      <w:bookmarkStart w:id="3" w:name="_Toc3538"/>
      <w:r>
        <w:rPr>
          <w:rFonts w:hint="eastAsia"/>
          <w:sz w:val="28"/>
          <w:szCs w:val="28"/>
        </w:rPr>
        <w:t>引用</w:t>
      </w:r>
      <w:bookmarkEnd w:id="3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338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</w:t>
            </w:r>
          </w:p>
        </w:tc>
        <w:tc>
          <w:tcPr>
            <w:tcW w:w="5292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1474-2016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 可用性工程对医疗器械的应用》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IEC/TR 62366-2:2016</w:t>
            </w:r>
          </w:p>
        </w:tc>
        <w:tc>
          <w:tcPr>
            <w:tcW w:w="5292" w:type="dxa"/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sz w:val="24"/>
              </w:rPr>
              <w:t>Medical devices — Part 2: Guidance on the application of usability engineering to medical devices</w:t>
            </w:r>
            <w:r>
              <w:rPr>
                <w:rFonts w:hint="eastAsia"/>
                <w:sz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9706.106-2021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《医用电气设备 第1-6部分： 基本安全和基本性能的通用要求并列标准： 可用性》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《医疗器械人因设计技术审查指导原则（征求意见稿）》</w:t>
            </w:r>
          </w:p>
        </w:tc>
      </w:tr>
    </w:tbl>
    <w:p>
      <w:pPr>
        <w:pStyle w:val="2"/>
        <w:rPr>
          <w:sz w:val="28"/>
          <w:szCs w:val="28"/>
        </w:rPr>
      </w:pPr>
      <w:bookmarkStart w:id="4" w:name="_Toc26976"/>
      <w:r>
        <w:rPr>
          <w:rFonts w:hint="eastAsia"/>
          <w:sz w:val="28"/>
          <w:szCs w:val="28"/>
        </w:rPr>
        <w:t>术语和定义</w:t>
      </w:r>
      <w:bookmarkEnd w:id="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无。</w:t>
      </w:r>
    </w:p>
    <w:p>
      <w:pPr>
        <w:pStyle w:val="2"/>
        <w:rPr>
          <w:sz w:val="28"/>
          <w:szCs w:val="28"/>
        </w:rPr>
      </w:pPr>
      <w:bookmarkStart w:id="5" w:name="_Toc19910"/>
      <w:r>
        <w:rPr>
          <w:rFonts w:hint="eastAsia"/>
          <w:sz w:val="28"/>
          <w:szCs w:val="28"/>
        </w:rPr>
        <w:t>预期用途</w:t>
      </w:r>
      <w:bookmarkEnd w:id="5"/>
    </w:p>
    <w:p>
      <w:pPr>
        <w:pStyle w:val="4"/>
      </w:pPr>
      <w:bookmarkStart w:id="6" w:name="_Toc6165"/>
      <w:r>
        <w:rPr>
          <w:rFonts w:hint="eastAsia"/>
        </w:rPr>
        <w:t>描述</w:t>
      </w:r>
      <w:bookmarkEnd w:id="6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款有源医疗设备，面向骨科中的创伤需要术中导航定位的科室。本产品利用医学图像数据结合医学图像处理技术、实时跟踪导航技术、机械臂定位控制技术，对患者实施个性化的手术规划、导航和定位。本产品是一种辅助医生的智能导航定位手术机器人。</w:t>
      </w:r>
    </w:p>
    <w:p>
      <w:pPr>
        <w:pStyle w:val="4"/>
      </w:pPr>
      <w:bookmarkStart w:id="7" w:name="_Toc31890"/>
      <w:r>
        <w:rPr>
          <w:rFonts w:hint="eastAsia"/>
        </w:rPr>
        <w:t>应用摘要</w:t>
      </w:r>
      <w:bookmarkEnd w:id="7"/>
      <w:r>
        <w:t xml:space="preserve"> </w:t>
      </w:r>
    </w:p>
    <w:p>
      <w:pPr>
        <w:pStyle w:val="5"/>
      </w:pPr>
      <w:bookmarkStart w:id="8" w:name="_Toc18188"/>
      <w:r>
        <w:rPr>
          <w:rFonts w:hint="eastAsia"/>
        </w:rPr>
        <w:t>医学用途</w:t>
      </w:r>
      <w:bookmarkEnd w:id="8"/>
    </w:p>
    <w:p>
      <w:pPr>
        <w:ind w:firstLine="420" w:firstLineChars="0"/>
      </w:pPr>
      <w:r>
        <w:rPr>
          <w:sz w:val="24"/>
          <w:szCs w:val="28"/>
        </w:rPr>
        <w:t>创伤骨科空心螺钉内固定术</w:t>
      </w:r>
    </w:p>
    <w:p>
      <w:pPr>
        <w:pStyle w:val="5"/>
      </w:pPr>
      <w:bookmarkStart w:id="9" w:name="_Toc31040"/>
      <w:r>
        <w:rPr>
          <w:rFonts w:hint="eastAsia"/>
        </w:rPr>
        <w:t>患者群体</w:t>
      </w:r>
      <w:bookmarkEnd w:id="9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sz w:val="24"/>
          <w:szCs w:val="28"/>
        </w:rPr>
        <w:t>可</w:t>
      </w:r>
      <w:r>
        <w:rPr>
          <w:sz w:val="24"/>
          <w:szCs w:val="28"/>
        </w:rPr>
        <w:t>通过图像完成规划与定位的创伤骨科空心螺钉内固定术</w:t>
      </w:r>
      <w:r>
        <w:rPr>
          <w:rFonts w:hint="eastAsia"/>
          <w:sz w:val="24"/>
          <w:szCs w:val="28"/>
        </w:rPr>
        <w:t>的患者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pStyle w:val="5"/>
      </w:pPr>
      <w:bookmarkStart w:id="10" w:name="_Toc368"/>
      <w:r>
        <w:rPr>
          <w:rFonts w:hint="eastAsia"/>
        </w:rPr>
        <w:t>与之交互的人体部位或组织类型</w:t>
      </w:r>
      <w:bookmarkEnd w:id="10"/>
    </w:p>
    <w:p>
      <w:pPr>
        <w:ind w:firstLine="420" w:firstLineChars="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骨骼，股骨，骨盆，根骨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</w:pPr>
      <w:bookmarkStart w:id="11" w:name="_Toc20841"/>
      <w:r>
        <w:rPr>
          <w:rFonts w:hint="eastAsia"/>
        </w:rPr>
        <w:t>预期用户</w:t>
      </w:r>
      <w:bookmarkEnd w:id="11"/>
    </w:p>
    <w:p>
      <w:pPr>
        <w:numPr>
          <w:ilvl w:val="0"/>
          <w:numId w:val="2"/>
        </w:num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手术经验丰富的资历较高的骨科手术医生（通过本设备提高手术安全、减少手术时间）。</w:t>
      </w:r>
    </w:p>
    <w:p>
      <w:pPr>
        <w:numPr>
          <w:ilvl w:val="0"/>
          <w:numId w:val="2"/>
        </w:num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手术经验欠丰富的青年骨科手术医生（通过本设备提高手术安全、减少手术时间、优化手术决策）。</w:t>
      </w:r>
    </w:p>
    <w:p>
      <w:pPr>
        <w:pStyle w:val="5"/>
      </w:pPr>
      <w:bookmarkStart w:id="12" w:name="_Toc6416"/>
      <w:r>
        <w:rPr>
          <w:rFonts w:hint="eastAsia"/>
        </w:rPr>
        <w:t>应用环境</w:t>
      </w:r>
      <w:bookmarkEnd w:id="12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手术室</w:t>
      </w:r>
    </w:p>
    <w:p>
      <w:pPr>
        <w:pStyle w:val="5"/>
      </w:pPr>
      <w:bookmarkStart w:id="13" w:name="_Toc2010"/>
      <w:r>
        <w:rPr>
          <w:rFonts w:hint="eastAsia"/>
        </w:rPr>
        <w:t>使用频率</w:t>
      </w:r>
      <w:bookmarkEnd w:id="13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每天不大于3台手术，每台手术时长不超过2</w:t>
      </w:r>
      <w:r>
        <w:rPr>
          <w:rFonts w:hint="eastAsia"/>
          <w:sz w:val="24"/>
          <w:szCs w:val="24"/>
          <w:lang w:val="en-US" w:eastAsia="zh-CN"/>
        </w:rPr>
        <w:t>小时</w:t>
      </w:r>
      <w:r>
        <w:rPr>
          <w:rFonts w:hint="eastAsia"/>
          <w:sz w:val="24"/>
          <w:szCs w:val="24"/>
        </w:rPr>
        <w:t>。</w:t>
      </w:r>
    </w:p>
    <w:p>
      <w:pPr>
        <w:pStyle w:val="5"/>
        <w:bidi w:val="0"/>
      </w:pPr>
      <w:bookmarkStart w:id="14" w:name="_Toc25837"/>
      <w:r>
        <w:rPr>
          <w:rFonts w:hint="eastAsia"/>
        </w:rPr>
        <w:t>移动性</w:t>
      </w:r>
      <w:bookmarkEnd w:id="14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台车可移动，术中执行台车固定，导航台车可移动。患者静止位于手术床上。</w:t>
      </w:r>
    </w:p>
    <w:p>
      <w:pPr>
        <w:pStyle w:val="2"/>
        <w:bidi w:val="0"/>
        <w:rPr>
          <w:sz w:val="28"/>
          <w:szCs w:val="28"/>
        </w:rPr>
      </w:pPr>
      <w:bookmarkStart w:id="15" w:name="_Toc8524"/>
      <w:r>
        <w:rPr>
          <w:rFonts w:hint="eastAsia"/>
          <w:sz w:val="28"/>
          <w:szCs w:val="28"/>
          <w:lang w:val="en-US" w:eastAsia="zh-CN"/>
        </w:rPr>
        <w:t>基本操作</w:t>
      </w:r>
      <w:bookmarkEnd w:id="15"/>
    </w:p>
    <w:p>
      <w:pPr>
        <w:pStyle w:val="4"/>
      </w:pPr>
      <w:bookmarkStart w:id="16" w:name="_Toc16796"/>
      <w:r>
        <w:rPr>
          <w:rFonts w:hint="eastAsia"/>
        </w:rPr>
        <w:t>常用功能</w:t>
      </w:r>
      <w:bookmarkEnd w:id="16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7" w:name="_Toc12244"/>
      <w:r>
        <w:rPr>
          <w:rFonts w:hint="eastAsia" w:ascii="宋体" w:hAnsi="宋体" w:eastAsia="宋体" w:cs="宋体"/>
          <w:b w:val="0"/>
          <w:bCs/>
          <w:sz w:val="24"/>
          <w:szCs w:val="24"/>
        </w:rPr>
        <w:t>现场安装</w:t>
      </w:r>
      <w:bookmarkEnd w:id="17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8" w:name="_Toc18788"/>
      <w:r>
        <w:rPr>
          <w:rFonts w:hint="eastAsia" w:ascii="宋体" w:hAnsi="宋体" w:eastAsia="宋体" w:cs="宋体"/>
          <w:b w:val="0"/>
          <w:bCs/>
          <w:sz w:val="24"/>
          <w:szCs w:val="24"/>
        </w:rPr>
        <w:t>启动设备</w:t>
      </w:r>
      <w:bookmarkEnd w:id="18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9" w:name="_Toc6913"/>
      <w:r>
        <w:rPr>
          <w:rFonts w:hint="eastAsia" w:ascii="宋体" w:hAnsi="宋体" w:eastAsia="宋体" w:cs="宋体"/>
          <w:b w:val="0"/>
          <w:bCs/>
          <w:sz w:val="24"/>
          <w:szCs w:val="24"/>
        </w:rPr>
        <w:t>手术规划与执行</w:t>
      </w:r>
      <w:bookmarkEnd w:id="19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0" w:name="_Toc10863"/>
      <w:r>
        <w:rPr>
          <w:rFonts w:hint="eastAsia" w:ascii="宋体" w:hAnsi="宋体" w:eastAsia="宋体" w:cs="宋体"/>
          <w:b w:val="0"/>
          <w:bCs/>
          <w:sz w:val="24"/>
          <w:szCs w:val="24"/>
        </w:rPr>
        <w:t>关闭设备</w:t>
      </w:r>
      <w:bookmarkEnd w:id="20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1" w:name="_Toc4547"/>
      <w:r>
        <w:rPr>
          <w:rFonts w:hint="eastAsia" w:ascii="宋体" w:hAnsi="宋体" w:eastAsia="宋体" w:cs="宋体"/>
          <w:b w:val="0"/>
          <w:bCs/>
          <w:sz w:val="24"/>
          <w:szCs w:val="24"/>
        </w:rPr>
        <w:t>基于配准板的手眼标定和图像配准</w:t>
      </w:r>
      <w:bookmarkEnd w:id="21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2" w:name="_Toc29596"/>
      <w:r>
        <w:rPr>
          <w:rFonts w:hint="eastAsia" w:ascii="宋体" w:hAnsi="宋体" w:eastAsia="宋体" w:cs="宋体"/>
          <w:b w:val="0"/>
          <w:bCs/>
          <w:sz w:val="24"/>
          <w:szCs w:val="24"/>
        </w:rPr>
        <w:t>执行台车按钮控制通道升降</w:t>
      </w:r>
      <w:bookmarkEnd w:id="22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3" w:name="_Toc15492"/>
      <w:r>
        <w:rPr>
          <w:rFonts w:hint="eastAsia" w:ascii="宋体" w:hAnsi="宋体" w:eastAsia="宋体" w:cs="宋体"/>
          <w:b w:val="0"/>
          <w:bCs/>
          <w:sz w:val="24"/>
          <w:szCs w:val="24"/>
        </w:rPr>
        <w:t>工具灭菌</w:t>
      </w:r>
      <w:bookmarkEnd w:id="23"/>
    </w:p>
    <w:p>
      <w:pPr>
        <w:pStyle w:val="4"/>
      </w:pPr>
      <w:bookmarkStart w:id="24" w:name="_Toc13478"/>
      <w:r>
        <w:rPr>
          <w:rFonts w:hint="eastAsia"/>
        </w:rPr>
        <w:t>与安全有关的功能</w:t>
      </w:r>
      <w:bookmarkEnd w:id="24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5" w:name="_Toc14625"/>
      <w:r>
        <w:rPr>
          <w:rFonts w:hint="eastAsia" w:ascii="宋体" w:hAnsi="宋体" w:eastAsia="宋体" w:cs="宋体"/>
          <w:b w:val="0"/>
          <w:bCs/>
          <w:sz w:val="24"/>
          <w:szCs w:val="24"/>
        </w:rPr>
        <w:t>紧急停止</w:t>
      </w:r>
      <w:bookmarkEnd w:id="25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6" w:name="_Toc29886"/>
      <w:r>
        <w:rPr>
          <w:rFonts w:hint="eastAsia" w:ascii="宋体" w:hAnsi="宋体" w:eastAsia="宋体" w:cs="宋体"/>
          <w:b w:val="0"/>
          <w:bCs/>
          <w:sz w:val="24"/>
          <w:szCs w:val="24"/>
        </w:rPr>
        <w:t>UPS供电</w:t>
      </w:r>
      <w:bookmarkEnd w:id="26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7" w:name="_Toc30634"/>
      <w:r>
        <w:rPr>
          <w:rFonts w:hint="eastAsia" w:ascii="宋体" w:hAnsi="宋体" w:eastAsia="宋体" w:cs="宋体"/>
          <w:b w:val="0"/>
          <w:bCs/>
          <w:sz w:val="24"/>
          <w:szCs w:val="24"/>
        </w:rPr>
        <w:t>现场安装</w:t>
      </w:r>
      <w:bookmarkEnd w:id="27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8" w:name="_Toc23249"/>
      <w:r>
        <w:rPr>
          <w:rFonts w:hint="eastAsia" w:ascii="宋体" w:hAnsi="宋体" w:eastAsia="宋体" w:cs="宋体"/>
          <w:b w:val="0"/>
          <w:bCs/>
          <w:sz w:val="24"/>
          <w:szCs w:val="24"/>
        </w:rPr>
        <w:t>手术规划与执行</w:t>
      </w:r>
      <w:bookmarkEnd w:id="28"/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29" w:name="_Toc1544"/>
      <w:r>
        <w:rPr>
          <w:rFonts w:hint="eastAsia" w:ascii="宋体" w:hAnsi="宋体" w:eastAsia="宋体" w:cs="宋体"/>
          <w:b w:val="0"/>
          <w:bCs/>
          <w:sz w:val="24"/>
          <w:szCs w:val="24"/>
        </w:rPr>
        <w:t>执行台车按钮控制通道升降</w:t>
      </w:r>
      <w:bookmarkEnd w:id="29"/>
    </w:p>
    <w:sectPr>
      <w:footerReference r:id="rId7" w:type="default"/>
      <w:pgSz w:w="11906" w:h="16838"/>
      <w:pgMar w:top="1417" w:right="1800" w:bottom="850" w:left="1800" w:header="851" w:footer="283" w:gutter="0"/>
      <w:pgNumType w:fmt="decimal" w:start="1"/>
      <w:cols w:space="0" w:num="1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Times New Roman" w:hAnsi="Times New Roman" w:cs="Times New Roman"/>
        <w:sz w:val="18"/>
        <w:szCs w:val="18"/>
        <w:lang w:bidi="ar"/>
      </w:rPr>
      <w:drawing>
        <wp:inline distT="0" distB="0" distL="114300" distR="114300">
          <wp:extent cx="2077085" cy="311785"/>
          <wp:effectExtent l="0" t="0" r="18415" b="12065"/>
          <wp:docPr id="14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7085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32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4F8BB"/>
    <w:multiLevelType w:val="multilevel"/>
    <w:tmpl w:val="D9B4F8B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833" w:hanging="833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4691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66E0457"/>
    <w:multiLevelType w:val="singleLevel"/>
    <w:tmpl w:val="466E04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00037C"/>
    <w:rsid w:val="00011A9E"/>
    <w:rsid w:val="0002653B"/>
    <w:rsid w:val="00084374"/>
    <w:rsid w:val="000D202B"/>
    <w:rsid w:val="000D2E3A"/>
    <w:rsid w:val="000F29CC"/>
    <w:rsid w:val="00195ECB"/>
    <w:rsid w:val="001A141E"/>
    <w:rsid w:val="001A6428"/>
    <w:rsid w:val="001B0077"/>
    <w:rsid w:val="00203938"/>
    <w:rsid w:val="002C65E4"/>
    <w:rsid w:val="003E29BC"/>
    <w:rsid w:val="003E7DD5"/>
    <w:rsid w:val="0050542E"/>
    <w:rsid w:val="00520C79"/>
    <w:rsid w:val="00521F5E"/>
    <w:rsid w:val="005679D1"/>
    <w:rsid w:val="0057350C"/>
    <w:rsid w:val="00641043"/>
    <w:rsid w:val="00754AB5"/>
    <w:rsid w:val="00770EA9"/>
    <w:rsid w:val="007720C4"/>
    <w:rsid w:val="007913F2"/>
    <w:rsid w:val="007A37D8"/>
    <w:rsid w:val="007C6D59"/>
    <w:rsid w:val="008A767A"/>
    <w:rsid w:val="008B18DC"/>
    <w:rsid w:val="008D26C1"/>
    <w:rsid w:val="009068A2"/>
    <w:rsid w:val="009503BB"/>
    <w:rsid w:val="00980757"/>
    <w:rsid w:val="00985EBF"/>
    <w:rsid w:val="009E5328"/>
    <w:rsid w:val="00A75EAA"/>
    <w:rsid w:val="00AB0A1B"/>
    <w:rsid w:val="00AD3AC9"/>
    <w:rsid w:val="00AD5622"/>
    <w:rsid w:val="00B61616"/>
    <w:rsid w:val="00B72438"/>
    <w:rsid w:val="00C61AEE"/>
    <w:rsid w:val="00CF317D"/>
    <w:rsid w:val="00D67B8C"/>
    <w:rsid w:val="00D9459A"/>
    <w:rsid w:val="00E71355"/>
    <w:rsid w:val="00F20F95"/>
    <w:rsid w:val="00F31891"/>
    <w:rsid w:val="00FC2597"/>
    <w:rsid w:val="016519ED"/>
    <w:rsid w:val="01993FD6"/>
    <w:rsid w:val="01D67EAB"/>
    <w:rsid w:val="01E97321"/>
    <w:rsid w:val="025A6DA7"/>
    <w:rsid w:val="02644ACE"/>
    <w:rsid w:val="026D5FC2"/>
    <w:rsid w:val="02707336"/>
    <w:rsid w:val="02AB0636"/>
    <w:rsid w:val="02F80881"/>
    <w:rsid w:val="033739F5"/>
    <w:rsid w:val="03377BF0"/>
    <w:rsid w:val="040344C3"/>
    <w:rsid w:val="049A3EE5"/>
    <w:rsid w:val="04CA4BB5"/>
    <w:rsid w:val="04DF0030"/>
    <w:rsid w:val="05032A18"/>
    <w:rsid w:val="058805D0"/>
    <w:rsid w:val="05884AC3"/>
    <w:rsid w:val="05CB5F07"/>
    <w:rsid w:val="05F46DF6"/>
    <w:rsid w:val="064C693C"/>
    <w:rsid w:val="066C1F8B"/>
    <w:rsid w:val="06A150FE"/>
    <w:rsid w:val="06B21345"/>
    <w:rsid w:val="06B57809"/>
    <w:rsid w:val="06BF1533"/>
    <w:rsid w:val="074245F9"/>
    <w:rsid w:val="0760504D"/>
    <w:rsid w:val="079668B7"/>
    <w:rsid w:val="085D13B5"/>
    <w:rsid w:val="08657AB8"/>
    <w:rsid w:val="08945E89"/>
    <w:rsid w:val="08B11E84"/>
    <w:rsid w:val="091655D1"/>
    <w:rsid w:val="093740A1"/>
    <w:rsid w:val="09BB5BCC"/>
    <w:rsid w:val="09BF382C"/>
    <w:rsid w:val="0A65416C"/>
    <w:rsid w:val="0B375F8F"/>
    <w:rsid w:val="0B514627"/>
    <w:rsid w:val="0BB928C2"/>
    <w:rsid w:val="0BBA4D65"/>
    <w:rsid w:val="0BE706ED"/>
    <w:rsid w:val="0CBD67C8"/>
    <w:rsid w:val="0CE3541D"/>
    <w:rsid w:val="0D14789D"/>
    <w:rsid w:val="0D225423"/>
    <w:rsid w:val="0D380D3F"/>
    <w:rsid w:val="0DB875C6"/>
    <w:rsid w:val="0E055BEC"/>
    <w:rsid w:val="0E2741A3"/>
    <w:rsid w:val="0E2F5460"/>
    <w:rsid w:val="0F525587"/>
    <w:rsid w:val="0F7F41C8"/>
    <w:rsid w:val="102B2D19"/>
    <w:rsid w:val="10A12DA0"/>
    <w:rsid w:val="10AD4E23"/>
    <w:rsid w:val="114E320A"/>
    <w:rsid w:val="115019C2"/>
    <w:rsid w:val="11520F72"/>
    <w:rsid w:val="11595ECB"/>
    <w:rsid w:val="117A794E"/>
    <w:rsid w:val="12621206"/>
    <w:rsid w:val="128812A8"/>
    <w:rsid w:val="12C845D2"/>
    <w:rsid w:val="12F310B8"/>
    <w:rsid w:val="1303162E"/>
    <w:rsid w:val="132604F3"/>
    <w:rsid w:val="1336788D"/>
    <w:rsid w:val="141E2224"/>
    <w:rsid w:val="14D64C58"/>
    <w:rsid w:val="14DA716B"/>
    <w:rsid w:val="157A3F5A"/>
    <w:rsid w:val="15835095"/>
    <w:rsid w:val="16487643"/>
    <w:rsid w:val="164A7311"/>
    <w:rsid w:val="172F3B96"/>
    <w:rsid w:val="17370A93"/>
    <w:rsid w:val="17B6703A"/>
    <w:rsid w:val="17C05B06"/>
    <w:rsid w:val="17E115D7"/>
    <w:rsid w:val="17F51C94"/>
    <w:rsid w:val="18785FB9"/>
    <w:rsid w:val="18BA0EDE"/>
    <w:rsid w:val="19751FE8"/>
    <w:rsid w:val="19F22CD1"/>
    <w:rsid w:val="1A4174F7"/>
    <w:rsid w:val="1B445FE4"/>
    <w:rsid w:val="1BEE20BE"/>
    <w:rsid w:val="1C0511FA"/>
    <w:rsid w:val="1C4A1B3F"/>
    <w:rsid w:val="1C6C5911"/>
    <w:rsid w:val="1CA3053F"/>
    <w:rsid w:val="1CAC44F0"/>
    <w:rsid w:val="1CBA5358"/>
    <w:rsid w:val="1D6660A0"/>
    <w:rsid w:val="1DC8166F"/>
    <w:rsid w:val="1E410ED7"/>
    <w:rsid w:val="1EB66CE1"/>
    <w:rsid w:val="1EC46C87"/>
    <w:rsid w:val="1EE86F0A"/>
    <w:rsid w:val="1EF9187A"/>
    <w:rsid w:val="1F2252EC"/>
    <w:rsid w:val="1F7229C9"/>
    <w:rsid w:val="1FE5702B"/>
    <w:rsid w:val="202F5F60"/>
    <w:rsid w:val="204602C1"/>
    <w:rsid w:val="20A26147"/>
    <w:rsid w:val="22064C83"/>
    <w:rsid w:val="22164095"/>
    <w:rsid w:val="225F5B8E"/>
    <w:rsid w:val="22F93A8C"/>
    <w:rsid w:val="23D729E7"/>
    <w:rsid w:val="24261EA7"/>
    <w:rsid w:val="24540CD2"/>
    <w:rsid w:val="24996EA2"/>
    <w:rsid w:val="24A27F99"/>
    <w:rsid w:val="24C41877"/>
    <w:rsid w:val="25C42F68"/>
    <w:rsid w:val="26707171"/>
    <w:rsid w:val="26753261"/>
    <w:rsid w:val="27017B1B"/>
    <w:rsid w:val="271E3F5C"/>
    <w:rsid w:val="27434EF3"/>
    <w:rsid w:val="285F5832"/>
    <w:rsid w:val="287232B7"/>
    <w:rsid w:val="29154C2F"/>
    <w:rsid w:val="29172EEC"/>
    <w:rsid w:val="29BF4A03"/>
    <w:rsid w:val="2AB71C38"/>
    <w:rsid w:val="2ABB636F"/>
    <w:rsid w:val="2AC45B60"/>
    <w:rsid w:val="2B4206F9"/>
    <w:rsid w:val="2B557277"/>
    <w:rsid w:val="2BAB2848"/>
    <w:rsid w:val="2BB86DE5"/>
    <w:rsid w:val="2BCB5984"/>
    <w:rsid w:val="2C061E34"/>
    <w:rsid w:val="2C9921DB"/>
    <w:rsid w:val="2CCD2C66"/>
    <w:rsid w:val="2D61111D"/>
    <w:rsid w:val="2D7A1034"/>
    <w:rsid w:val="2D825394"/>
    <w:rsid w:val="2DD54680"/>
    <w:rsid w:val="2DDA7A24"/>
    <w:rsid w:val="2DE10445"/>
    <w:rsid w:val="2DFA09C5"/>
    <w:rsid w:val="2E5D21FC"/>
    <w:rsid w:val="2EFE2BCC"/>
    <w:rsid w:val="2F2507F1"/>
    <w:rsid w:val="2F27081C"/>
    <w:rsid w:val="2F660218"/>
    <w:rsid w:val="2FD66F65"/>
    <w:rsid w:val="300D659C"/>
    <w:rsid w:val="30301E9F"/>
    <w:rsid w:val="30473813"/>
    <w:rsid w:val="30994AEF"/>
    <w:rsid w:val="310A1392"/>
    <w:rsid w:val="31332561"/>
    <w:rsid w:val="325D23A1"/>
    <w:rsid w:val="334447D4"/>
    <w:rsid w:val="33621EB8"/>
    <w:rsid w:val="33740094"/>
    <w:rsid w:val="33997CFE"/>
    <w:rsid w:val="33AA484A"/>
    <w:rsid w:val="34560CCD"/>
    <w:rsid w:val="34583831"/>
    <w:rsid w:val="34781801"/>
    <w:rsid w:val="34F51A38"/>
    <w:rsid w:val="355412C6"/>
    <w:rsid w:val="35F63001"/>
    <w:rsid w:val="366A584F"/>
    <w:rsid w:val="3683146A"/>
    <w:rsid w:val="36D64F73"/>
    <w:rsid w:val="37514664"/>
    <w:rsid w:val="37612E17"/>
    <w:rsid w:val="37907C8C"/>
    <w:rsid w:val="37A27ABA"/>
    <w:rsid w:val="37B77E66"/>
    <w:rsid w:val="37D0077B"/>
    <w:rsid w:val="38507CC5"/>
    <w:rsid w:val="38814854"/>
    <w:rsid w:val="391509CE"/>
    <w:rsid w:val="398B27E3"/>
    <w:rsid w:val="399B3711"/>
    <w:rsid w:val="39B5645A"/>
    <w:rsid w:val="3A0C259D"/>
    <w:rsid w:val="3A1D45CF"/>
    <w:rsid w:val="3A6A4E00"/>
    <w:rsid w:val="3AA04502"/>
    <w:rsid w:val="3B826790"/>
    <w:rsid w:val="3BE94353"/>
    <w:rsid w:val="3CEF07DF"/>
    <w:rsid w:val="3CF74DE3"/>
    <w:rsid w:val="3D4D3A52"/>
    <w:rsid w:val="3DBB1F49"/>
    <w:rsid w:val="3DC207C2"/>
    <w:rsid w:val="3DD92D04"/>
    <w:rsid w:val="3EBC2DD4"/>
    <w:rsid w:val="3ED26F1E"/>
    <w:rsid w:val="3EEF5EE4"/>
    <w:rsid w:val="3F093D11"/>
    <w:rsid w:val="3F9E2EF4"/>
    <w:rsid w:val="406341C0"/>
    <w:rsid w:val="40946FA0"/>
    <w:rsid w:val="40AC69BA"/>
    <w:rsid w:val="40E2300C"/>
    <w:rsid w:val="414B41E7"/>
    <w:rsid w:val="419E2CA6"/>
    <w:rsid w:val="41E43209"/>
    <w:rsid w:val="41F66028"/>
    <w:rsid w:val="420C30E4"/>
    <w:rsid w:val="422E6E78"/>
    <w:rsid w:val="426C25E4"/>
    <w:rsid w:val="428B409B"/>
    <w:rsid w:val="42B13934"/>
    <w:rsid w:val="42B44BCC"/>
    <w:rsid w:val="42CF3399"/>
    <w:rsid w:val="448E2DB4"/>
    <w:rsid w:val="44996699"/>
    <w:rsid w:val="44DF1658"/>
    <w:rsid w:val="455A17F2"/>
    <w:rsid w:val="458A240E"/>
    <w:rsid w:val="459812A8"/>
    <w:rsid w:val="45CF7AFA"/>
    <w:rsid w:val="45DB5CF9"/>
    <w:rsid w:val="46160BBC"/>
    <w:rsid w:val="46475912"/>
    <w:rsid w:val="46CA75A6"/>
    <w:rsid w:val="46EA652B"/>
    <w:rsid w:val="470E7B6C"/>
    <w:rsid w:val="48121F78"/>
    <w:rsid w:val="486D7E1A"/>
    <w:rsid w:val="48BF1991"/>
    <w:rsid w:val="48F92351"/>
    <w:rsid w:val="490B3A20"/>
    <w:rsid w:val="490D46BB"/>
    <w:rsid w:val="492A24C2"/>
    <w:rsid w:val="497475F9"/>
    <w:rsid w:val="49D1162D"/>
    <w:rsid w:val="49DF02FD"/>
    <w:rsid w:val="49F7258C"/>
    <w:rsid w:val="4A02012A"/>
    <w:rsid w:val="4B362A6E"/>
    <w:rsid w:val="4B5A4478"/>
    <w:rsid w:val="4B8B07CC"/>
    <w:rsid w:val="4BE72442"/>
    <w:rsid w:val="4C477BE0"/>
    <w:rsid w:val="4C49249F"/>
    <w:rsid w:val="4C811E19"/>
    <w:rsid w:val="4CB73418"/>
    <w:rsid w:val="4D2A0DFA"/>
    <w:rsid w:val="4D532085"/>
    <w:rsid w:val="4D7C3C63"/>
    <w:rsid w:val="4DAA171B"/>
    <w:rsid w:val="4E154088"/>
    <w:rsid w:val="4E6D7955"/>
    <w:rsid w:val="4E914C14"/>
    <w:rsid w:val="4F3116AB"/>
    <w:rsid w:val="4F4F46AB"/>
    <w:rsid w:val="4F795038"/>
    <w:rsid w:val="4F96578E"/>
    <w:rsid w:val="4FEB06AD"/>
    <w:rsid w:val="501E5109"/>
    <w:rsid w:val="50326052"/>
    <w:rsid w:val="508F4619"/>
    <w:rsid w:val="50977FF8"/>
    <w:rsid w:val="510D1B4F"/>
    <w:rsid w:val="513F460A"/>
    <w:rsid w:val="51936894"/>
    <w:rsid w:val="51B8140F"/>
    <w:rsid w:val="524609DF"/>
    <w:rsid w:val="524F59DC"/>
    <w:rsid w:val="52675ECE"/>
    <w:rsid w:val="529F58A7"/>
    <w:rsid w:val="52FA58EC"/>
    <w:rsid w:val="53D50FCE"/>
    <w:rsid w:val="53D852B7"/>
    <w:rsid w:val="540D6A16"/>
    <w:rsid w:val="54BA5742"/>
    <w:rsid w:val="56153EBD"/>
    <w:rsid w:val="57060B39"/>
    <w:rsid w:val="5720228F"/>
    <w:rsid w:val="583B221A"/>
    <w:rsid w:val="584A71FF"/>
    <w:rsid w:val="5865469B"/>
    <w:rsid w:val="587368DE"/>
    <w:rsid w:val="59946335"/>
    <w:rsid w:val="599E1006"/>
    <w:rsid w:val="5A131264"/>
    <w:rsid w:val="5AB301E0"/>
    <w:rsid w:val="5AFC0BEC"/>
    <w:rsid w:val="5AFE08DF"/>
    <w:rsid w:val="5B1477D4"/>
    <w:rsid w:val="5B6A257E"/>
    <w:rsid w:val="5B7D3379"/>
    <w:rsid w:val="5BD63961"/>
    <w:rsid w:val="5BE7781C"/>
    <w:rsid w:val="5DC44D86"/>
    <w:rsid w:val="5DF23EF8"/>
    <w:rsid w:val="5E8720EC"/>
    <w:rsid w:val="5F483205"/>
    <w:rsid w:val="5FB81FB6"/>
    <w:rsid w:val="5FDF06B8"/>
    <w:rsid w:val="601B2A12"/>
    <w:rsid w:val="60547BD1"/>
    <w:rsid w:val="60776426"/>
    <w:rsid w:val="60D863B7"/>
    <w:rsid w:val="60DC4E7C"/>
    <w:rsid w:val="60E46730"/>
    <w:rsid w:val="611B2710"/>
    <w:rsid w:val="614444B2"/>
    <w:rsid w:val="62015D60"/>
    <w:rsid w:val="624F2853"/>
    <w:rsid w:val="627658E4"/>
    <w:rsid w:val="64322884"/>
    <w:rsid w:val="64377174"/>
    <w:rsid w:val="6486032C"/>
    <w:rsid w:val="64910F5E"/>
    <w:rsid w:val="64CF6AEE"/>
    <w:rsid w:val="65B07C77"/>
    <w:rsid w:val="667F0D60"/>
    <w:rsid w:val="66812C27"/>
    <w:rsid w:val="66CD3CB3"/>
    <w:rsid w:val="66EE10C9"/>
    <w:rsid w:val="671715BA"/>
    <w:rsid w:val="6720709C"/>
    <w:rsid w:val="67573E35"/>
    <w:rsid w:val="67C6704D"/>
    <w:rsid w:val="681763D2"/>
    <w:rsid w:val="68837AC6"/>
    <w:rsid w:val="68D50AD5"/>
    <w:rsid w:val="69077CF3"/>
    <w:rsid w:val="693C3B21"/>
    <w:rsid w:val="69677250"/>
    <w:rsid w:val="69E949A3"/>
    <w:rsid w:val="6A0D2910"/>
    <w:rsid w:val="6AD72851"/>
    <w:rsid w:val="6B5A5D8D"/>
    <w:rsid w:val="6BE157FF"/>
    <w:rsid w:val="6C0B71D2"/>
    <w:rsid w:val="6C6E34BB"/>
    <w:rsid w:val="6D050ADB"/>
    <w:rsid w:val="6D5F31A0"/>
    <w:rsid w:val="6D976FEF"/>
    <w:rsid w:val="6DDE6EA2"/>
    <w:rsid w:val="6DFC1BEC"/>
    <w:rsid w:val="6E9351C1"/>
    <w:rsid w:val="6F250974"/>
    <w:rsid w:val="6F425277"/>
    <w:rsid w:val="6F457191"/>
    <w:rsid w:val="6F6B355A"/>
    <w:rsid w:val="7008444B"/>
    <w:rsid w:val="70334C0E"/>
    <w:rsid w:val="7044032E"/>
    <w:rsid w:val="70A80AE8"/>
    <w:rsid w:val="715C1FAC"/>
    <w:rsid w:val="716A7732"/>
    <w:rsid w:val="723E5B00"/>
    <w:rsid w:val="72AF4744"/>
    <w:rsid w:val="73000A7B"/>
    <w:rsid w:val="73A525A7"/>
    <w:rsid w:val="73CC74DB"/>
    <w:rsid w:val="73CF0E5E"/>
    <w:rsid w:val="73DC61E0"/>
    <w:rsid w:val="73FC653F"/>
    <w:rsid w:val="7479295D"/>
    <w:rsid w:val="74AB408C"/>
    <w:rsid w:val="74DC704C"/>
    <w:rsid w:val="74EB508F"/>
    <w:rsid w:val="74F21DB9"/>
    <w:rsid w:val="755C426C"/>
    <w:rsid w:val="75B754E7"/>
    <w:rsid w:val="75C84D63"/>
    <w:rsid w:val="75DE5FD3"/>
    <w:rsid w:val="76040CA7"/>
    <w:rsid w:val="76AF189E"/>
    <w:rsid w:val="776C0048"/>
    <w:rsid w:val="77B35E42"/>
    <w:rsid w:val="77B94CA8"/>
    <w:rsid w:val="77E86264"/>
    <w:rsid w:val="78034553"/>
    <w:rsid w:val="78225D97"/>
    <w:rsid w:val="78507C38"/>
    <w:rsid w:val="787A5666"/>
    <w:rsid w:val="78B236E4"/>
    <w:rsid w:val="78C6556E"/>
    <w:rsid w:val="78E06A82"/>
    <w:rsid w:val="79077C59"/>
    <w:rsid w:val="790E7842"/>
    <w:rsid w:val="790F44C2"/>
    <w:rsid w:val="793F0A11"/>
    <w:rsid w:val="79DD2BDF"/>
    <w:rsid w:val="79FC5CCF"/>
    <w:rsid w:val="7A485CA4"/>
    <w:rsid w:val="7A602205"/>
    <w:rsid w:val="7AA54D02"/>
    <w:rsid w:val="7ABF68AF"/>
    <w:rsid w:val="7B6902D6"/>
    <w:rsid w:val="7BC6610D"/>
    <w:rsid w:val="7BD134CC"/>
    <w:rsid w:val="7C333EDD"/>
    <w:rsid w:val="7C6C243B"/>
    <w:rsid w:val="7C9537CE"/>
    <w:rsid w:val="7C977CED"/>
    <w:rsid w:val="7C9B5943"/>
    <w:rsid w:val="7D4836C0"/>
    <w:rsid w:val="7D521DBC"/>
    <w:rsid w:val="7E626F25"/>
    <w:rsid w:val="7E762947"/>
    <w:rsid w:val="7E7B28C7"/>
    <w:rsid w:val="7E7F226F"/>
    <w:rsid w:val="7E85156B"/>
    <w:rsid w:val="7E9569B2"/>
    <w:rsid w:val="7F6B396F"/>
    <w:rsid w:val="7F7D54FA"/>
    <w:rsid w:val="7FB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after="260" w:line="240" w:lineRule="auto"/>
      <w:outlineLvl w:val="2"/>
    </w:pPr>
    <w:rPr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b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 w:line="240" w:lineRule="auto"/>
      <w:ind w:left="1440" w:leftChars="700" w:right="700" w:rightChars="700"/>
    </w:pPr>
    <w:rPr>
      <w:rFonts w:ascii="Times New Roman" w:hAnsi="Times New Roman" w:cs="Times New Roman"/>
      <w:sz w:val="21"/>
      <w:szCs w:val="22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0"/>
    <w:rPr>
      <w:sz w:val="24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5">
    <w:name w:val="WPSOffice手动目录 1"/>
    <w:qFormat/>
    <w:uiPriority w:val="0"/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eastAsia="微软雅黑" w:asciiTheme="minorHAnsi" w:hAnsiTheme="minorHAnsi" w:cstheme="minorBidi"/>
      <w:lang w:val="en-US" w:eastAsia="zh-CN" w:bidi="ar-SA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1084</Words>
  <Characters>1359</Characters>
  <Lines>21</Lines>
  <Paragraphs>5</Paragraphs>
  <TotalTime>3</TotalTime>
  <ScaleCrop>false</ScaleCrop>
  <LinksUpToDate>false</LinksUpToDate>
  <CharactersWithSpaces>1502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2021-12-29T01:30:00Z</cp:lastPrinted>
  <dcterms:modified xsi:type="dcterms:W3CDTF">2024-03-12T09:28:54Z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4CF5060ABB7B43D8BB132DC2115985C2</vt:lpwstr>
  </property>
</Properties>
</file>