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pPr w:leftFromText="180" w:rightFromText="180" w:vertAnchor="page" w:horzAnchor="page" w:tblpX="1846" w:tblpY="142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205"/>
        <w:gridCol w:w="183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33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3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338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sz w:val="24"/>
              </w:rPr>
              <w:t>MS-002.20W013</w:t>
            </w:r>
          </w:p>
        </w:tc>
        <w:tc>
          <w:tcPr>
            <w:tcW w:w="183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52"/>
                <w:szCs w:val="52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52"/>
                <w:szCs w:val="5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center"/>
          </w:tcPr>
          <w:p>
            <w:pPr>
              <w:spacing w:before="163" w:beforeLines="50" w:after="163" w:afterLines="50" w:line="300" w:lineRule="exact"/>
              <w:jc w:val="center"/>
              <w:rPr>
                <w:rFonts w:hint="eastAsia" w:ascii="宋体" w:hAnsi="宋体" w:eastAsia="宋体" w:cs="宋体"/>
                <w:sz w:val="52"/>
                <w:szCs w:val="5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黑体" w:cs="宋体"/>
                <w:sz w:val="52"/>
                <w:szCs w:val="5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  <w:lang w:val="en-US" w:eastAsia="zh-CN"/>
              </w:rPr>
              <w:t>台车控制板验证方案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2022.xx.xx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2022.xx.xx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vanish/>
                <w:color w:val="0000FF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2022.xx.xx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43"/>
        <w:gridCol w:w="394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Cs w:val="21"/>
                <w:lang w:val="en-US" w:eastAsia="zh-CN"/>
              </w:rPr>
              <w:t>2022.xx.xx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Cs w:val="21"/>
                <w:lang w:val="en-US" w:eastAsia="zh-CN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ind w:left="0" w:leftChars="0" w:firstLine="0" w:firstLineChars="0"/>
        <w:rPr>
          <w:rFonts w:ascii="Times New Roman" w:hAnsi="Times New Roman" w:cs="Times New Roman"/>
          <w:sz w:val="32"/>
          <w:szCs w:val="40"/>
        </w:rPr>
      </w:pPr>
    </w:p>
    <w:p>
      <w:pPr>
        <w:pStyle w:val="2"/>
        <w:ind w:left="0" w:leftChars="0" w:firstLine="0" w:firstLineChars="0"/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ascii="宋体" w:hAnsi="宋体"/>
          <w:sz w:val="21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_Toc11498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_Toc11498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_Toc6526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_Toc6526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_Toc14907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Theme="majorEastAsia" w:hAnsiTheme="majorEastAsia" w:eastAsiaTheme="majorEastAsia" w:cstheme="majorEastAsia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_Toc14907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_Toc27974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验证条件</w:t>
      </w:r>
      <w:r>
        <w:tab/>
      </w:r>
      <w:r>
        <w:fldChar w:fldCharType="begin"/>
      </w:r>
      <w:r>
        <w:instrText xml:space="preserve"> PAGEREF _Toc27974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_Toc31314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验证对象</w:t>
      </w:r>
      <w:r>
        <w:tab/>
      </w:r>
      <w:r>
        <w:fldChar w:fldCharType="begin"/>
      </w:r>
      <w:r>
        <w:instrText xml:space="preserve"> PAGEREF _Toc31314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_Toc28372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验证设备/工装/工具</w:t>
      </w:r>
      <w:r>
        <w:tab/>
      </w:r>
      <w:r>
        <w:fldChar w:fldCharType="begin"/>
      </w:r>
      <w:r>
        <w:instrText xml:space="preserve"> PAGEREF _Toc28372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_Toc21450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验证环境</w:t>
      </w:r>
      <w:r>
        <w:tab/>
      </w:r>
      <w:r>
        <w:fldChar w:fldCharType="begin"/>
      </w:r>
      <w:r>
        <w:instrText xml:space="preserve"> PAGEREF _Toc21450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_Toc23845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可接受准则</w:t>
      </w:r>
      <w:r>
        <w:tab/>
      </w:r>
      <w:r>
        <w:fldChar w:fldCharType="begin"/>
      </w:r>
      <w:r>
        <w:instrText xml:space="preserve"> PAGEREF _Toc23845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_Toc22865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功能验证</w:t>
      </w:r>
      <w:r>
        <w:tab/>
      </w:r>
      <w:r>
        <w:fldChar w:fldCharType="begin"/>
      </w:r>
      <w:r>
        <w:instrText xml:space="preserve"> PAGEREF _Toc22865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_Toc6467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_Toc6467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_Toc1144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_Toc1144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_Toc10346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性能验证</w:t>
      </w:r>
      <w:r>
        <w:tab/>
      </w:r>
      <w:r>
        <w:fldChar w:fldCharType="begin"/>
      </w:r>
      <w:r>
        <w:instrText xml:space="preserve"> PAGEREF _Toc10346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_Toc6094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5.1. 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_Toc6094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_Toc27388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_Toc27388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_Toc16516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 w:ascii="宋体" w:hAnsi="宋体" w:eastAsia="宋体" w:cs="宋体"/>
          <w:bCs w:val="0"/>
          <w:szCs w:val="24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Cs w:val="0"/>
          <w:szCs w:val="24"/>
          <w:lang w:val="en-US" w:eastAsia="zh-CN"/>
        </w:rPr>
        <w:t>内容</w:t>
      </w:r>
      <w:r>
        <w:tab/>
      </w:r>
      <w:r>
        <w:fldChar w:fldCharType="begin"/>
      </w:r>
      <w:r>
        <w:instrText xml:space="preserve"> PAGEREF _Toc16516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_Toc14542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验证结果与结论</w:t>
      </w:r>
      <w:r>
        <w:tab/>
      </w:r>
      <w:r>
        <w:fldChar w:fldCharType="begin"/>
      </w:r>
      <w:r>
        <w:instrText xml:space="preserve"> PAGEREF _Toc14542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_Toc20606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_Toc20606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_Toc1591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_Toc1591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rPr>
          <w:rFonts w:hint="eastAsia" w:ascii="宋体" w:hAnsi="宋体" w:eastAsia="宋体" w:cs="宋体"/>
          <w:b/>
          <w:bCs/>
          <w:sz w:val="24"/>
          <w:szCs w:val="24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8891"/>
      <w:bookmarkStart w:id="1" w:name="_Toc11498"/>
      <w:r>
        <w:rPr>
          <w:rFonts w:hint="eastAsia"/>
          <w:lang w:val="en-US" w:eastAsia="zh-CN"/>
        </w:rPr>
        <w:t>方案概述</w:t>
      </w:r>
      <w:bookmarkEnd w:id="0"/>
      <w:bookmarkEnd w:id="1"/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" w:name="_Toc15476"/>
      <w:bookmarkStart w:id="3" w:name="_Toc6526"/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目标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控制板在MS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系统在各种工作环境下正常工作的要求。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" w:name="_Toc7638"/>
      <w:bookmarkStart w:id="5" w:name="_Toc14907"/>
      <w:r>
        <w:rPr>
          <w:rFonts w:hint="eastAsia"/>
          <w:lang w:val="en-US" w:eastAsia="zh-CN"/>
        </w:rPr>
        <w:t>验证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范围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MS-002.21T001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-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0120"/>
      <w:bookmarkStart w:id="7" w:name="_Toc12284"/>
      <w:bookmarkStart w:id="8" w:name="_Toc27974"/>
      <w:bookmarkStart w:id="9" w:name="_Toc24900"/>
      <w:bookmarkStart w:id="10" w:name="_Toc2759"/>
      <w:r>
        <w:rPr>
          <w:rFonts w:hint="eastAsia"/>
          <w:lang w:val="en-US" w:eastAsia="zh-CN"/>
        </w:rPr>
        <w:t>验证条件</w:t>
      </w:r>
      <w:bookmarkEnd w:id="6"/>
      <w:bookmarkEnd w:id="7"/>
      <w:bookmarkEnd w:id="8"/>
      <w:bookmarkEnd w:id="9"/>
      <w:bookmarkEnd w:id="10"/>
    </w:p>
    <w:p>
      <w:pPr>
        <w:pStyle w:val="5"/>
        <w:numPr>
          <w:ilvl w:val="1"/>
          <w:numId w:val="2"/>
        </w:numPr>
        <w:bidi w:val="0"/>
        <w:spacing w:before="200" w:beforeLines="50" w:after="200" w:afterLines="50"/>
        <w:ind w:left="567" w:leftChars="0" w:hanging="567" w:firstLineChars="0"/>
        <w:rPr>
          <w:rFonts w:hint="default"/>
          <w:lang w:val="en-US" w:eastAsia="zh-CN"/>
        </w:rPr>
      </w:pPr>
      <w:bookmarkStart w:id="11" w:name="_Toc31314"/>
      <w:bookmarkStart w:id="12" w:name="_Toc20713"/>
      <w:bookmarkStart w:id="13" w:name="_Toc14895"/>
      <w:bookmarkStart w:id="14" w:name="_Toc4222"/>
      <w:bookmarkStart w:id="15" w:name="_Toc19240"/>
      <w:bookmarkStart w:id="16" w:name="_Toc7324"/>
      <w:bookmarkStart w:id="17" w:name="_Toc9802"/>
      <w:r>
        <w:rPr>
          <w:rFonts w:hint="eastAsia"/>
          <w:lang w:val="en-US" w:eastAsia="zh-CN"/>
        </w:rPr>
        <w:t>验证对象</w:t>
      </w:r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</w:rPr>
            </w:pPr>
            <w:r>
              <w:rPr>
                <w:rFonts w:hint="eastAsia" w:ascii="Calibri" w:hAnsi="Calibri" w:cs="Times New Roman"/>
                <w:sz w:val="24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台车控制板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MS-002.23T001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pStyle w:val="5"/>
        <w:numPr>
          <w:ilvl w:val="1"/>
          <w:numId w:val="2"/>
        </w:numPr>
        <w:bidi w:val="0"/>
        <w:spacing w:before="200" w:beforeLines="50" w:after="200" w:afterLines="50"/>
        <w:ind w:left="567" w:leftChars="0" w:hanging="567" w:firstLineChars="0"/>
        <w:rPr>
          <w:rFonts w:hint="eastAsia"/>
          <w:lang w:val="en-US" w:eastAsia="zh-CN"/>
        </w:rPr>
      </w:pPr>
      <w:bookmarkStart w:id="18" w:name="_Toc11532"/>
      <w:bookmarkStart w:id="19" w:name="_Toc28399"/>
      <w:bookmarkStart w:id="20" w:name="_Toc18418"/>
      <w:bookmarkStart w:id="21" w:name="_Toc21937"/>
      <w:bookmarkStart w:id="22" w:name="_Toc27341"/>
      <w:bookmarkStart w:id="23" w:name="_Toc31328"/>
      <w:bookmarkStart w:id="24" w:name="_Toc10789"/>
      <w:bookmarkStart w:id="25" w:name="_Toc22112"/>
      <w:bookmarkStart w:id="26" w:name="_Toc21666"/>
      <w:bookmarkStart w:id="27" w:name="_Toc14469"/>
      <w:bookmarkStart w:id="28" w:name="_Toc2275"/>
      <w:bookmarkStart w:id="29" w:name="_Toc25167"/>
      <w:bookmarkStart w:id="30" w:name="_Toc28372"/>
      <w:bookmarkStart w:id="31" w:name="_Toc578"/>
      <w:r>
        <w:rPr>
          <w:rFonts w:hint="eastAsia"/>
          <w:lang w:val="en-US" w:eastAsia="zh-CN"/>
        </w:rPr>
        <w:t>验证设备/工装/工具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30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szCs w:val="24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cs="Times New Roman"/>
                <w:sz w:val="24"/>
                <w:szCs w:val="24"/>
              </w:rPr>
            </w:pPr>
            <w:r>
              <w:rPr>
                <w:rFonts w:hint="eastAsia" w:ascii="Calibri" w:hAnsi="Calibri" w:cs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bookmarkStart w:id="95" w:name="_GoBack" w:colFirst="0" w:colLast="3"/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bookmarkEnd w:id="9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导航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台车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</w:tbl>
    <w:p>
      <w:pPr>
        <w:pStyle w:val="5"/>
        <w:numPr>
          <w:ilvl w:val="1"/>
          <w:numId w:val="2"/>
        </w:numPr>
        <w:bidi w:val="0"/>
        <w:spacing w:before="200" w:beforeLines="50" w:after="200" w:afterLines="50"/>
        <w:ind w:left="567" w:leftChars="0" w:hanging="567" w:firstLineChars="0"/>
        <w:rPr>
          <w:rFonts w:hint="eastAsia"/>
          <w:lang w:val="en-US" w:eastAsia="zh-CN"/>
        </w:rPr>
      </w:pPr>
      <w:bookmarkStart w:id="32" w:name="_Toc20126"/>
      <w:bookmarkStart w:id="33" w:name="_Toc21450"/>
      <w:bookmarkStart w:id="34" w:name="_Toc12251"/>
      <w:bookmarkStart w:id="35" w:name="_Toc13512"/>
      <w:bookmarkStart w:id="36" w:name="_Toc21214"/>
      <w:r>
        <w:rPr>
          <w:rFonts w:hint="eastAsia"/>
          <w:lang w:val="en-US" w:eastAsia="zh-CN"/>
        </w:rPr>
        <w:t>验证环境</w:t>
      </w:r>
      <w:bookmarkEnd w:id="32"/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温度：室温或者高低温箱内特殊要求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75%或者高低温箱内特殊要求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7" w:name="_Toc25317"/>
      <w:bookmarkStart w:id="38" w:name="_Toc23845"/>
      <w:bookmarkStart w:id="39" w:name="_Toc16326"/>
      <w:bookmarkStart w:id="40" w:name="_Toc17956"/>
      <w:bookmarkStart w:id="41" w:name="_Toc30833"/>
      <w:r>
        <w:rPr>
          <w:rFonts w:hint="eastAsia"/>
          <w:lang w:val="en-US" w:eastAsia="zh-CN"/>
        </w:rPr>
        <w:t>可接受准则</w:t>
      </w:r>
      <w:bookmarkEnd w:id="37"/>
      <w:bookmarkEnd w:id="38"/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按照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技术需求规格书，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台车控制板功能达到要求；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台车控制板满足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医用电器环境要求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2" w:name="_Toc22865"/>
      <w:r>
        <w:rPr>
          <w:rFonts w:hint="eastAsia"/>
          <w:lang w:val="en-US" w:eastAsia="zh-CN"/>
        </w:rPr>
        <w:t>功能</w:t>
      </w:r>
      <w:bookmarkEnd w:id="36"/>
      <w:r>
        <w:rPr>
          <w:rFonts w:hint="eastAsia"/>
          <w:lang w:val="en-US" w:eastAsia="zh-CN"/>
        </w:rPr>
        <w:t>验证</w:t>
      </w:r>
      <w:bookmarkEnd w:id="42"/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43" w:name="_Toc6467"/>
      <w:bookmarkStart w:id="44" w:name="_Toc1148"/>
      <w:bookmarkStart w:id="45" w:name="_Toc28207"/>
      <w:bookmarkStart w:id="46" w:name="_Toc2744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是控制机械臂电源上下电、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UPS开关机以及各指示灯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输入输出功能进行测试验证，检验产品功能与开发需求是否一致。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47" w:name="_Toc25980"/>
      <w:bookmarkStart w:id="48" w:name="_Toc9303"/>
      <w:bookmarkStart w:id="49" w:name="_Toc1144"/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内容</w:t>
      </w:r>
      <w:bookmarkEnd w:id="47"/>
      <w:bookmarkEnd w:id="48"/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首先需对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进行工作电压和电流测试，并填写至以下表格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表4.2-1 台车控制板基本工作参数</w:t>
      </w:r>
    </w:p>
    <w:tbl>
      <w:tblPr>
        <w:tblStyle w:val="31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软件功能逻辑测试：测试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控制板的输入输出逻辑状态，检测其输出动作是否符合预期。按相应控制逻辑，填写实际结果状态至表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表4.2-2 台车控制板输入输出测试</w:t>
      </w:r>
    </w:p>
    <w:tbl>
      <w:tblPr>
        <w:tblStyle w:val="30"/>
        <w:tblW w:w="833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3"/>
        <w:gridCol w:w="496"/>
        <w:gridCol w:w="1953"/>
        <w:gridCol w:w="1843"/>
        <w:gridCol w:w="1962"/>
        <w:gridCol w:w="111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7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执行台车机械臂开关机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未通电-按机械臂电源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2.按下机械臂电源；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面面板总开关打开-直接按机械臂电源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4.按机械臂电源；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机械臂上电中，机械臂电源指示灯每1s闪烁一下，完全上电，机械臂电源指示灯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机械臂上电后-按机械臂电源键-关闭机械臂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待机械臂成功上电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.按机械臂电源按钮；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机械臂断电，有咔嚓掉电声音，机械臂电源指示灯每1s闪烁一下延迟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后机械臂电源指示灯熄灭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97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4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ind w:right="132" w:rightChars="6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196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5.开启机械臂电源；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7.5分钟后UPS供电关闭</w:t>
            </w:r>
          </w:p>
          <w:p>
            <w:pPr>
              <w:pStyle w:val="2"/>
              <w:rPr>
                <w:rFonts w:hint="eastAsia"/>
              </w:rPr>
            </w:pP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4.按机械臂按键开启机械臂；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导航台车开关机</w:t>
            </w: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上电，电源指示灯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上电后-按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电源键-关闭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待工作站成功上电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电源按钮；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工作站关机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ind w:left="0" w:leftChars="0" w:right="132" w:rightChars="63" w:firstLine="0" w:firstLineChars="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7.5分钟后UPS供电关闭</w:t>
            </w:r>
          </w:p>
          <w:p>
            <w:pPr>
              <w:pStyle w:val="2"/>
              <w:ind w:left="1470" w:leftChars="700" w:right="1470" w:rightChars="70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9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UPS的电池状态指示灯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完全开机已进入windows桌面；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软件协议测试:根据台车控制板串口通讯协议，使用串口监测工具测试台车控制板发送数据情况是否符合设计要求，填写下表：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表4.2-3 台车控制板软件协议测试</w:t>
      </w:r>
    </w:p>
    <w:tbl>
      <w:tblPr>
        <w:tblStyle w:val="30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150"/>
        <w:gridCol w:w="2050"/>
        <w:gridCol w:w="2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用例标题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预期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获取UPS电池状态指令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2E E2 00 01 2D 14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获取UPS供电状态指令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2B 10 00 01 8C 2B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获取UPS立马关机指令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2.等待台车控制板正常工作，关闭工作站和机械臂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16 00 01 A0 2A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获取UPS延时5分钟关机指令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2.等待台车控制板正常工作，打开工作站或机械臂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29 00 32 D0 33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8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取消UPS延时关机指令</w:t>
            </w:r>
          </w:p>
        </w:tc>
        <w:tc>
          <w:tcPr>
            <w:tcW w:w="2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4.等待10秒钟重新打开侧面总电源</w:t>
            </w:r>
          </w:p>
        </w:tc>
        <w:tc>
          <w:tcPr>
            <w:tcW w:w="20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2A 00 01 60 26</w:t>
            </w:r>
          </w:p>
        </w:tc>
        <w:tc>
          <w:tcPr>
            <w:tcW w:w="23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50" w:name="_Toc2230"/>
      <w:bookmarkStart w:id="51" w:name="_Toc10346"/>
      <w:r>
        <w:rPr>
          <w:rFonts w:hint="eastAsia"/>
          <w:lang w:val="en-US" w:eastAsia="zh-CN"/>
        </w:rPr>
        <w:t>性能</w:t>
      </w:r>
      <w:bookmarkEnd w:id="50"/>
      <w:r>
        <w:rPr>
          <w:rFonts w:hint="eastAsia"/>
          <w:lang w:val="en-US" w:eastAsia="zh-CN"/>
        </w:rPr>
        <w:t>验证</w:t>
      </w:r>
      <w:bookmarkEnd w:id="51"/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52" w:name="_Toc6094"/>
      <w:bookmarkStart w:id="53" w:name="_Toc30359"/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目标</w:t>
      </w:r>
      <w:bookmarkEnd w:id="52"/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根据GB∕T 14710-2009《医用电器环境要求及试验方法》环境试验条件分组第三组要求，进行气候环境条件测试，试验产品在特定条件下是否满足性能要求。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54" w:name="_Toc27388"/>
      <w:bookmarkStart w:id="55" w:name="_Toc23481"/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环境</w:t>
      </w:r>
      <w:bookmarkEnd w:id="54"/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设备：高低温箱、MS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/>
          <w:lang w:val="en-US" w:eastAsia="zh-CN"/>
        </w:rPr>
        <w:t>台车控制板。</w:t>
      </w:r>
    </w:p>
    <w:p>
      <w:pPr>
        <w:pStyle w:val="5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bookmarkStart w:id="56" w:name="_Toc16310"/>
      <w:bookmarkStart w:id="57" w:name="_Toc16516"/>
      <w:r>
        <w:rPr>
          <w:rFonts w:hint="eastAsia"/>
          <w:lang w:val="en-US" w:eastAsia="zh-CN"/>
        </w:rPr>
        <w:t>验证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内容</w:t>
      </w:r>
      <w:bookmarkEnd w:id="56"/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按照GB∕T 14710-2009《医用电器环境要求及试验方法》测试流程，进行以下试验项目，每次试验前需要进行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确认正常后方可进行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。高温、低温、湿热储存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试验后恢复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一小时进行4.2功能测试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1"/>
        <w:tblW w:w="86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668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℃，湿度93%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3，试验时通电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℃，湿度93%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3，试验恢复后通电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16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8" w:name="_Toc24630"/>
      <w:bookmarkStart w:id="59" w:name="_Toc17913"/>
      <w:bookmarkStart w:id="60" w:name="_Toc4276"/>
      <w:bookmarkStart w:id="61" w:name="_Toc6910"/>
      <w:bookmarkStart w:id="62" w:name="_Toc25403"/>
      <w:bookmarkStart w:id="63" w:name="_Toc25867"/>
      <w:bookmarkStart w:id="64" w:name="_Toc14320"/>
      <w:bookmarkStart w:id="65" w:name="_Toc16593"/>
      <w:bookmarkStart w:id="66" w:name="_Toc31962"/>
      <w:bookmarkStart w:id="67" w:name="_Toc25451"/>
      <w:bookmarkStart w:id="68" w:name="_Toc5520"/>
      <w:bookmarkStart w:id="69" w:name="_Toc16250"/>
      <w:bookmarkStart w:id="70" w:name="_Toc14542"/>
      <w:bookmarkStart w:id="71" w:name="_Toc21688"/>
      <w:bookmarkStart w:id="72" w:name="_Toc3923"/>
      <w:bookmarkStart w:id="73" w:name="_Toc5798"/>
      <w:r>
        <w:rPr>
          <w:rFonts w:hint="eastAsia"/>
          <w:lang w:val="en-US" w:eastAsia="zh-CN"/>
        </w:rPr>
        <w:t>验证结果与结论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根据验证</w:t>
      </w:r>
      <w:r>
        <w:rPr>
          <w:rFonts w:hint="eastAsia"/>
          <w:sz w:val="21"/>
          <w:szCs w:val="21"/>
          <w:lang w:val="en-US" w:eastAsia="zh-CN"/>
        </w:rPr>
        <w:t>测试</w:t>
      </w:r>
      <w:r>
        <w:rPr>
          <w:rFonts w:hint="eastAsia"/>
          <w:lang w:val="en-US" w:eastAsia="zh-CN"/>
        </w:rPr>
        <w:t>数据，对此次验证结果作出判断。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74" w:name="_Toc29521"/>
      <w:bookmarkStart w:id="75" w:name="_Toc21933"/>
      <w:bookmarkStart w:id="76" w:name="_Toc14765"/>
      <w:bookmarkStart w:id="77" w:name="_Toc29828"/>
      <w:bookmarkStart w:id="78" w:name="_Toc190"/>
      <w:bookmarkStart w:id="79" w:name="_Toc619"/>
      <w:bookmarkStart w:id="80" w:name="_Toc13081"/>
      <w:bookmarkStart w:id="81" w:name="_Toc18390"/>
      <w:bookmarkStart w:id="82" w:name="_Toc14114"/>
      <w:bookmarkStart w:id="83" w:name="_Toc4793"/>
      <w:bookmarkStart w:id="84" w:name="_Toc21544"/>
      <w:bookmarkStart w:id="85" w:name="_Toc4157"/>
      <w:bookmarkStart w:id="86" w:name="_Toc20606"/>
      <w:bookmarkStart w:id="87" w:name="_Toc6052"/>
      <w:bookmarkStart w:id="88" w:name="_Toc4144"/>
      <w:r>
        <w:rPr>
          <w:rFonts w:hint="eastAsia"/>
          <w:lang w:val="en-US" w:eastAsia="zh-CN"/>
        </w:rPr>
        <w:t>参考文献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MS-002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 xml:space="preserve"> 技术需求规格书 V1.0》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 设计失效模式分析(D-FMEA)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_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电子》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 xml:space="preserve"> 风险评估和控制记录 V1.0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89" w:name="_Toc32010"/>
      <w:bookmarkStart w:id="90" w:name="_Toc1591"/>
      <w:bookmarkStart w:id="91" w:name="_Toc31834"/>
      <w:bookmarkStart w:id="92" w:name="_Toc32570"/>
      <w:bookmarkStart w:id="93" w:name="_Toc17559"/>
      <w:bookmarkStart w:id="94" w:name="_Toc15080"/>
      <w:r>
        <w:rPr>
          <w:rFonts w:hint="eastAsia"/>
          <w:lang w:val="en-US" w:eastAsia="zh-CN"/>
        </w:rPr>
        <w:t>附件</w:t>
      </w:r>
      <w:bookmarkEnd w:id="89"/>
      <w:bookmarkEnd w:id="90"/>
      <w:bookmarkEnd w:id="91"/>
      <w:bookmarkEnd w:id="92"/>
      <w:bookmarkEnd w:id="93"/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headerReference r:id="rId16" w:type="first"/>
      <w:footerReference r:id="rId17" w:type="default"/>
      <w:headerReference r:id="rId15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cs="Times New Roman"/>
        <w:lang w:val="en-US" w:eastAsia="zh-C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  <w:r>
      <w:pict>
        <v:shape id="PowerPlusWaterMarkObject31080220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4099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cs="Times New Roman"/>
        <w:lang w:val="en-US" w:eastAsia="zh-CN"/>
      </w:rPr>
      <w:t xml:space="preserve"> </w:t>
    </w:r>
    <w:r>
      <w:rPr>
        <w:rFonts w:hint="eastAsia" w:ascii="Times New Roman" w:hAnsi="Times New Roman" w:cs="Times New Roman"/>
      </w:rPr>
      <w:t xml:space="preserve"> 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4102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4100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4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3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5F130"/>
    <w:multiLevelType w:val="singleLevel"/>
    <w:tmpl w:val="AC75F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0EB063"/>
    <w:multiLevelType w:val="multilevel"/>
    <w:tmpl w:val="BF0EB0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1AD3E4A"/>
    <w:multiLevelType w:val="singleLevel"/>
    <w:tmpl w:val="E1AD3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FF05917"/>
    <w:multiLevelType w:val="singleLevel"/>
    <w:tmpl w:val="4FF05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25B3A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56E1B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00B2"/>
    <w:rsid w:val="018E45FF"/>
    <w:rsid w:val="02320959"/>
    <w:rsid w:val="023D52D7"/>
    <w:rsid w:val="02C73530"/>
    <w:rsid w:val="02D055BC"/>
    <w:rsid w:val="02DC786B"/>
    <w:rsid w:val="02FA3683"/>
    <w:rsid w:val="032E7D13"/>
    <w:rsid w:val="03326971"/>
    <w:rsid w:val="03923CBF"/>
    <w:rsid w:val="03DC63F8"/>
    <w:rsid w:val="03DD42B2"/>
    <w:rsid w:val="046E62C7"/>
    <w:rsid w:val="052B4B8F"/>
    <w:rsid w:val="05540A33"/>
    <w:rsid w:val="05EE36C0"/>
    <w:rsid w:val="065739A5"/>
    <w:rsid w:val="06856B77"/>
    <w:rsid w:val="068D3B56"/>
    <w:rsid w:val="068D60C2"/>
    <w:rsid w:val="06A47EC8"/>
    <w:rsid w:val="06E829A8"/>
    <w:rsid w:val="07A238FB"/>
    <w:rsid w:val="07D9342B"/>
    <w:rsid w:val="08842EBA"/>
    <w:rsid w:val="08E47B5E"/>
    <w:rsid w:val="08EB15FF"/>
    <w:rsid w:val="09246605"/>
    <w:rsid w:val="09FF48E7"/>
    <w:rsid w:val="0A004B4E"/>
    <w:rsid w:val="0AC03BF5"/>
    <w:rsid w:val="0AD77A87"/>
    <w:rsid w:val="0B6F1F61"/>
    <w:rsid w:val="0BCA58DD"/>
    <w:rsid w:val="0BCB1EE5"/>
    <w:rsid w:val="0BD367F6"/>
    <w:rsid w:val="0C15799D"/>
    <w:rsid w:val="0C5B1CA1"/>
    <w:rsid w:val="0CBA5453"/>
    <w:rsid w:val="0CED77E6"/>
    <w:rsid w:val="0E0C623C"/>
    <w:rsid w:val="0E3807D8"/>
    <w:rsid w:val="0E7673EC"/>
    <w:rsid w:val="0F1B763C"/>
    <w:rsid w:val="0F427144"/>
    <w:rsid w:val="111F6967"/>
    <w:rsid w:val="113008C4"/>
    <w:rsid w:val="120D2650"/>
    <w:rsid w:val="12CC21FE"/>
    <w:rsid w:val="12FD4B21"/>
    <w:rsid w:val="13125426"/>
    <w:rsid w:val="1359264A"/>
    <w:rsid w:val="13710279"/>
    <w:rsid w:val="13966975"/>
    <w:rsid w:val="14202994"/>
    <w:rsid w:val="145450AD"/>
    <w:rsid w:val="14820DA0"/>
    <w:rsid w:val="14AF792E"/>
    <w:rsid w:val="14EA2576"/>
    <w:rsid w:val="14EB04FA"/>
    <w:rsid w:val="153A4D4F"/>
    <w:rsid w:val="16102902"/>
    <w:rsid w:val="161C11D8"/>
    <w:rsid w:val="16444FD4"/>
    <w:rsid w:val="16DA1B0D"/>
    <w:rsid w:val="17291566"/>
    <w:rsid w:val="172A32C5"/>
    <w:rsid w:val="17F126CB"/>
    <w:rsid w:val="17F87FDD"/>
    <w:rsid w:val="19A21D34"/>
    <w:rsid w:val="19CE2367"/>
    <w:rsid w:val="1AA954EE"/>
    <w:rsid w:val="1ACC7154"/>
    <w:rsid w:val="1BE50C87"/>
    <w:rsid w:val="1C07213D"/>
    <w:rsid w:val="1C854571"/>
    <w:rsid w:val="1C8F1AA9"/>
    <w:rsid w:val="1C9126E0"/>
    <w:rsid w:val="1CA800EB"/>
    <w:rsid w:val="1CE95FE5"/>
    <w:rsid w:val="1CEF14DD"/>
    <w:rsid w:val="1CFC3931"/>
    <w:rsid w:val="1D6C1661"/>
    <w:rsid w:val="1DC80F94"/>
    <w:rsid w:val="1DF12139"/>
    <w:rsid w:val="1E853548"/>
    <w:rsid w:val="1EAC52A1"/>
    <w:rsid w:val="1EFA772E"/>
    <w:rsid w:val="1F84603A"/>
    <w:rsid w:val="1F85135E"/>
    <w:rsid w:val="1FDA79B3"/>
    <w:rsid w:val="20622EA9"/>
    <w:rsid w:val="208E7074"/>
    <w:rsid w:val="209324BF"/>
    <w:rsid w:val="21003C17"/>
    <w:rsid w:val="21081A72"/>
    <w:rsid w:val="217C0CE0"/>
    <w:rsid w:val="22156154"/>
    <w:rsid w:val="221E5B15"/>
    <w:rsid w:val="222130C6"/>
    <w:rsid w:val="22672D68"/>
    <w:rsid w:val="22C5240B"/>
    <w:rsid w:val="23234D94"/>
    <w:rsid w:val="234B4683"/>
    <w:rsid w:val="237C2FBE"/>
    <w:rsid w:val="23CE4697"/>
    <w:rsid w:val="2428438F"/>
    <w:rsid w:val="2439695D"/>
    <w:rsid w:val="243A0908"/>
    <w:rsid w:val="24C80CD9"/>
    <w:rsid w:val="24D11E65"/>
    <w:rsid w:val="25CB1CC9"/>
    <w:rsid w:val="27EF7002"/>
    <w:rsid w:val="28BD0279"/>
    <w:rsid w:val="29240504"/>
    <w:rsid w:val="29420FAB"/>
    <w:rsid w:val="29EB7226"/>
    <w:rsid w:val="2A3C61B1"/>
    <w:rsid w:val="2A8F64A0"/>
    <w:rsid w:val="2A903783"/>
    <w:rsid w:val="2AC45C77"/>
    <w:rsid w:val="2C700036"/>
    <w:rsid w:val="2C925498"/>
    <w:rsid w:val="2CC739FB"/>
    <w:rsid w:val="2CFD32D8"/>
    <w:rsid w:val="2D1648F9"/>
    <w:rsid w:val="2DD57F8D"/>
    <w:rsid w:val="2E0442F1"/>
    <w:rsid w:val="2E0D0FB1"/>
    <w:rsid w:val="2EE96C29"/>
    <w:rsid w:val="2EFB1FF9"/>
    <w:rsid w:val="2F036316"/>
    <w:rsid w:val="2F6C7198"/>
    <w:rsid w:val="2FB56A31"/>
    <w:rsid w:val="2FD15513"/>
    <w:rsid w:val="30687302"/>
    <w:rsid w:val="30EF4239"/>
    <w:rsid w:val="30FB2FE7"/>
    <w:rsid w:val="311C75D7"/>
    <w:rsid w:val="313B5FBF"/>
    <w:rsid w:val="319D5345"/>
    <w:rsid w:val="31BD3E04"/>
    <w:rsid w:val="31C14B20"/>
    <w:rsid w:val="31D4175F"/>
    <w:rsid w:val="31E964C9"/>
    <w:rsid w:val="32C91006"/>
    <w:rsid w:val="33552B12"/>
    <w:rsid w:val="33BF44BB"/>
    <w:rsid w:val="33CE7676"/>
    <w:rsid w:val="345A4C51"/>
    <w:rsid w:val="35DC783A"/>
    <w:rsid w:val="36914A2B"/>
    <w:rsid w:val="372E1105"/>
    <w:rsid w:val="37636AF0"/>
    <w:rsid w:val="376F252D"/>
    <w:rsid w:val="37AB2813"/>
    <w:rsid w:val="387F4B11"/>
    <w:rsid w:val="38DA36FB"/>
    <w:rsid w:val="39732C58"/>
    <w:rsid w:val="398336ED"/>
    <w:rsid w:val="3ACD479C"/>
    <w:rsid w:val="3AED361A"/>
    <w:rsid w:val="3B766081"/>
    <w:rsid w:val="3BA12E5D"/>
    <w:rsid w:val="3BA234AB"/>
    <w:rsid w:val="3BF70402"/>
    <w:rsid w:val="3C940DD1"/>
    <w:rsid w:val="3CD37225"/>
    <w:rsid w:val="3CE06704"/>
    <w:rsid w:val="3D4C628C"/>
    <w:rsid w:val="3D5B7D17"/>
    <w:rsid w:val="3DAB31F1"/>
    <w:rsid w:val="3E5E45A8"/>
    <w:rsid w:val="3EBE4AC0"/>
    <w:rsid w:val="3ED814AE"/>
    <w:rsid w:val="3F071D45"/>
    <w:rsid w:val="3F356605"/>
    <w:rsid w:val="3F6444D4"/>
    <w:rsid w:val="3F9B06D8"/>
    <w:rsid w:val="40283CDA"/>
    <w:rsid w:val="40A11FB1"/>
    <w:rsid w:val="40BF3B7A"/>
    <w:rsid w:val="4148392F"/>
    <w:rsid w:val="41B94631"/>
    <w:rsid w:val="41FD6C53"/>
    <w:rsid w:val="44190B9C"/>
    <w:rsid w:val="44764A00"/>
    <w:rsid w:val="449A3645"/>
    <w:rsid w:val="45006471"/>
    <w:rsid w:val="45170D3A"/>
    <w:rsid w:val="451A30BF"/>
    <w:rsid w:val="45E37992"/>
    <w:rsid w:val="468B6F34"/>
    <w:rsid w:val="46BF2F1E"/>
    <w:rsid w:val="471F1855"/>
    <w:rsid w:val="478E4193"/>
    <w:rsid w:val="47E05224"/>
    <w:rsid w:val="490A38D4"/>
    <w:rsid w:val="49122ADE"/>
    <w:rsid w:val="49D12232"/>
    <w:rsid w:val="4A35514C"/>
    <w:rsid w:val="4A410366"/>
    <w:rsid w:val="4A9972C4"/>
    <w:rsid w:val="4AD53E5C"/>
    <w:rsid w:val="4B6D6660"/>
    <w:rsid w:val="4C815570"/>
    <w:rsid w:val="4D5E54AD"/>
    <w:rsid w:val="4F601FEC"/>
    <w:rsid w:val="505C6252"/>
    <w:rsid w:val="50C25AB6"/>
    <w:rsid w:val="51114EEF"/>
    <w:rsid w:val="51F977C4"/>
    <w:rsid w:val="52697D3A"/>
    <w:rsid w:val="52CE1542"/>
    <w:rsid w:val="531D359D"/>
    <w:rsid w:val="53C00E8A"/>
    <w:rsid w:val="5405631A"/>
    <w:rsid w:val="542A7802"/>
    <w:rsid w:val="548362D2"/>
    <w:rsid w:val="54FD63E1"/>
    <w:rsid w:val="55116831"/>
    <w:rsid w:val="551449A0"/>
    <w:rsid w:val="552D5FC7"/>
    <w:rsid w:val="55A44439"/>
    <w:rsid w:val="5609140E"/>
    <w:rsid w:val="5690091A"/>
    <w:rsid w:val="56F52766"/>
    <w:rsid w:val="573E2039"/>
    <w:rsid w:val="57DA63EA"/>
    <w:rsid w:val="585633C7"/>
    <w:rsid w:val="585F7353"/>
    <w:rsid w:val="58B91F15"/>
    <w:rsid w:val="59720EA5"/>
    <w:rsid w:val="59960DE0"/>
    <w:rsid w:val="5A4B619A"/>
    <w:rsid w:val="5A6D58B2"/>
    <w:rsid w:val="5AD304B1"/>
    <w:rsid w:val="5B281B79"/>
    <w:rsid w:val="5B895EB2"/>
    <w:rsid w:val="5CBF40BE"/>
    <w:rsid w:val="5CC93E3C"/>
    <w:rsid w:val="5E87643A"/>
    <w:rsid w:val="5EC141AC"/>
    <w:rsid w:val="5EE27FA0"/>
    <w:rsid w:val="5F553E16"/>
    <w:rsid w:val="5F97660F"/>
    <w:rsid w:val="5FF96E51"/>
    <w:rsid w:val="608C1993"/>
    <w:rsid w:val="609255A7"/>
    <w:rsid w:val="612A5035"/>
    <w:rsid w:val="61804484"/>
    <w:rsid w:val="61A3356A"/>
    <w:rsid w:val="6204712D"/>
    <w:rsid w:val="62762145"/>
    <w:rsid w:val="627834B1"/>
    <w:rsid w:val="628E2D2A"/>
    <w:rsid w:val="64404149"/>
    <w:rsid w:val="645B4E7A"/>
    <w:rsid w:val="651728C8"/>
    <w:rsid w:val="65DB13DF"/>
    <w:rsid w:val="65E936EC"/>
    <w:rsid w:val="66336C28"/>
    <w:rsid w:val="6636079B"/>
    <w:rsid w:val="667E28BE"/>
    <w:rsid w:val="668526B0"/>
    <w:rsid w:val="67C213A1"/>
    <w:rsid w:val="67DE4E15"/>
    <w:rsid w:val="684412BF"/>
    <w:rsid w:val="68B1799F"/>
    <w:rsid w:val="68D1346B"/>
    <w:rsid w:val="68FB5B55"/>
    <w:rsid w:val="691E7457"/>
    <w:rsid w:val="6962657B"/>
    <w:rsid w:val="69A72AA1"/>
    <w:rsid w:val="6A731EAE"/>
    <w:rsid w:val="6A7A30FE"/>
    <w:rsid w:val="6A800BF6"/>
    <w:rsid w:val="6ADA0A86"/>
    <w:rsid w:val="6ADE3E99"/>
    <w:rsid w:val="6ADF18F7"/>
    <w:rsid w:val="6AF27491"/>
    <w:rsid w:val="6B112BF1"/>
    <w:rsid w:val="6B904963"/>
    <w:rsid w:val="6C256C7F"/>
    <w:rsid w:val="6C6D2921"/>
    <w:rsid w:val="6C724E43"/>
    <w:rsid w:val="6D51004E"/>
    <w:rsid w:val="6D687899"/>
    <w:rsid w:val="6D775285"/>
    <w:rsid w:val="6D8919B0"/>
    <w:rsid w:val="6E6765EC"/>
    <w:rsid w:val="6F2479BB"/>
    <w:rsid w:val="6F9F5B6E"/>
    <w:rsid w:val="701B7484"/>
    <w:rsid w:val="70695FCF"/>
    <w:rsid w:val="707963AF"/>
    <w:rsid w:val="708463DD"/>
    <w:rsid w:val="70DF15CD"/>
    <w:rsid w:val="71A66178"/>
    <w:rsid w:val="72DF5B36"/>
    <w:rsid w:val="73A77581"/>
    <w:rsid w:val="74BC2526"/>
    <w:rsid w:val="752A3511"/>
    <w:rsid w:val="762A4125"/>
    <w:rsid w:val="762A6251"/>
    <w:rsid w:val="764610FB"/>
    <w:rsid w:val="76E0667F"/>
    <w:rsid w:val="77A2443B"/>
    <w:rsid w:val="77FD34A2"/>
    <w:rsid w:val="783A0796"/>
    <w:rsid w:val="7871522C"/>
    <w:rsid w:val="787F2C49"/>
    <w:rsid w:val="78BA28A4"/>
    <w:rsid w:val="78FD5394"/>
    <w:rsid w:val="79210BFE"/>
    <w:rsid w:val="79BE6793"/>
    <w:rsid w:val="79CA424D"/>
    <w:rsid w:val="7A4D1663"/>
    <w:rsid w:val="7AA4324D"/>
    <w:rsid w:val="7AD12862"/>
    <w:rsid w:val="7B1F61A0"/>
    <w:rsid w:val="7B204C6A"/>
    <w:rsid w:val="7BB74324"/>
    <w:rsid w:val="7E19234F"/>
    <w:rsid w:val="7E443C37"/>
    <w:rsid w:val="7EB4746A"/>
    <w:rsid w:val="7F2731F7"/>
    <w:rsid w:val="7FC40B23"/>
    <w:rsid w:val="7FD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ind w:left="431" w:hanging="431"/>
      <w:outlineLvl w:val="0"/>
    </w:pPr>
    <w:rPr>
      <w:rFonts w:ascii="宋体" w:hAnsi="宋体" w:eastAsia="宋体"/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ind w:left="573" w:hanging="573"/>
      <w:outlineLvl w:val="1"/>
    </w:pPr>
    <w:rPr>
      <w:rFonts w:ascii="Times New Roman" w:hAnsi="Times New Roman" w:eastAsia="宋体"/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360" w:lineRule="auto"/>
    </w:pPr>
    <w:rPr>
      <w:rFonts w:ascii="宋体" w:hAnsi="宋体" w:cs="宋体"/>
      <w:sz w:val="21"/>
      <w:szCs w:val="21"/>
    </w:r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360" w:lineRule="auto"/>
      <w:ind w:left="420" w:leftChars="200"/>
    </w:pPr>
    <w:rPr>
      <w:rFonts w:ascii="宋体" w:hAnsi="宋体" w:cs="宋体"/>
      <w:szCs w:val="21"/>
    </w:r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theme" Target="theme/theme1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  <customShpInfo spid="_x0000_s1026" textRotate="1"/>
    <customShpInfo spid="_x0000_s4102"/>
    <customShpInfo spid="_x0000_s4100"/>
    <customShpInfo spid="_x0000_s4104"/>
    <customShpInfo spid="_x0000_s41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2683</Words>
  <Characters>3146</Characters>
  <Lines>3</Lines>
  <Paragraphs>1</Paragraphs>
  <TotalTime>0</TotalTime>
  <ScaleCrop>false</ScaleCrop>
  <LinksUpToDate>false</LinksUpToDate>
  <CharactersWithSpaces>3259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2023-08-18T05:50:34Z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79FB90D9E4F84AA0A85035B6517B1947</vt:lpwstr>
  </property>
</Properties>
</file>