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22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末端控制板验证报告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_Toc23805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_Toc23805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_Toc20900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_Toc10504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_Toc10504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_Toc2563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_Toc23564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_Toc23564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_Toc18357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_Toc18357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_Toc23894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_Toc23894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_Toc22736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_Toc22736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_Toc7868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_Toc7868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_Toc7066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_Toc7066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_Toc4620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_Toc4620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_Toc7363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_Toc7363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_Toc21222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_Toc21222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_Toc3159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_Toc3159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_Toc28778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_Toc28778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_Toc26411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_Toc26411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_Toc23913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_Toc24796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_Toc24796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_Toc753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_Toc14997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_Toc14997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_Toc4209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_Toc4209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_Toc21815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_Toc21815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_Toc15816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_Toc15816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_Toc412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_Toc5881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_Toc5881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_Toc26631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_Toc26631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_Toc26626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_Toc26626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3805"/>
      <w:bookmarkStart w:id="1" w:name="_Toc10239"/>
      <w:bookmarkStart w:id="2" w:name="_Toc16646"/>
      <w:bookmarkStart w:id="3" w:name="_Toc29076"/>
      <w:bookmarkStart w:id="4" w:name="_Toc27104"/>
      <w:bookmarkStart w:id="5" w:name="_Toc185"/>
      <w:bookmarkStart w:id="6" w:name="_Toc30924"/>
      <w:bookmarkStart w:id="7" w:name="_Toc25494"/>
      <w:bookmarkStart w:id="8" w:name="_Toc8498"/>
      <w:bookmarkStart w:id="9" w:name="_Toc13356"/>
      <w:bookmarkStart w:id="10" w:name="_Toc24226"/>
      <w:bookmarkStart w:id="11" w:name="_Toc121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32383"/>
      <w:bookmarkStart w:id="13" w:name="_Toc23347"/>
      <w:bookmarkStart w:id="14" w:name="_Toc14588"/>
      <w:bookmarkStart w:id="15" w:name="_Toc9537"/>
      <w:bookmarkStart w:id="16" w:name="_Toc24130"/>
      <w:bookmarkStart w:id="17" w:name="_Toc26376"/>
      <w:bookmarkStart w:id="18" w:name="_Toc30996"/>
      <w:bookmarkStart w:id="19" w:name="_Toc1912"/>
      <w:bookmarkStart w:id="20" w:name="_Toc8853"/>
      <w:bookmarkStart w:id="21" w:name="_Toc7898"/>
      <w:bookmarkStart w:id="22" w:name="_Toc2090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板是用来</w:t>
      </w:r>
      <w:r>
        <w:rPr>
          <w:rFonts w:hint="eastAsia" w:ascii="宋体" w:hAnsi="宋体" w:cs="宋体"/>
          <w:lang w:val="en-US" w:eastAsia="zh-CN"/>
        </w:rPr>
        <w:t>控制机械臂前端通道上升下降通道左旋转右旋转和状态灯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显示机械臂和操作状态的部件，根据产品技术需求说明书，对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按键功能和灯光控制功能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进行测试验证，检验产品功能与开发需求是否一致。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组要求，进行气候环境条件测试，试验产品在特定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21184"/>
      <w:bookmarkStart w:id="24" w:name="_Toc17151"/>
      <w:bookmarkStart w:id="25" w:name="_Toc32447"/>
      <w:bookmarkStart w:id="26" w:name="_Toc8655"/>
      <w:bookmarkStart w:id="27" w:name="_Toc11200"/>
      <w:bookmarkStart w:id="28" w:name="_Toc26745"/>
      <w:bookmarkStart w:id="29" w:name="_Toc27142"/>
      <w:bookmarkStart w:id="30" w:name="_Toc21514"/>
      <w:bookmarkStart w:id="31" w:name="_Toc12483"/>
      <w:bookmarkStart w:id="32" w:name="_Toc1050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90"/>
      <w:bookmarkEnd w:id="33"/>
      <w:bookmarkStart w:id="34" w:name="_Toc4427"/>
      <w:bookmarkEnd w:id="34"/>
      <w:bookmarkStart w:id="35" w:name="_Toc18639"/>
      <w:bookmarkEnd w:id="35"/>
      <w:bookmarkStart w:id="36" w:name="_Toc22393"/>
      <w:bookmarkEnd w:id="36"/>
      <w:bookmarkStart w:id="37" w:name="_Toc32161"/>
      <w:bookmarkEnd w:id="37"/>
      <w:bookmarkStart w:id="38" w:name="_Toc11648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24382"/>
      <w:bookmarkStart w:id="40" w:name="_Toc18489"/>
      <w:bookmarkStart w:id="41" w:name="_Toc13067"/>
      <w:bookmarkStart w:id="42" w:name="_Toc15336"/>
      <w:bookmarkStart w:id="43" w:name="_Toc20781"/>
      <w:bookmarkStart w:id="44" w:name="_Toc25521"/>
      <w:bookmarkStart w:id="45" w:name="_Toc17305"/>
      <w:bookmarkStart w:id="46" w:name="_Toc24793"/>
      <w:bookmarkStart w:id="47" w:name="_Toc32484"/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MS-002.22T001-末端控制板。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56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2356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18357"/>
      <w:bookmarkStart w:id="53" w:name="_Toc1748"/>
      <w:bookmarkStart w:id="54" w:name="_Toc477"/>
      <w:bookmarkStart w:id="55" w:name="_Toc13206"/>
      <w:bookmarkStart w:id="56" w:name="_Toc9422"/>
      <w:bookmarkStart w:id="57" w:name="_Toc4826"/>
      <w:bookmarkStart w:id="58" w:name="_Toc1867"/>
      <w:bookmarkStart w:id="59" w:name="_Toc24202"/>
      <w:bookmarkStart w:id="60" w:name="_Toc993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2389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132" w:name="_GoBack" w:colFirst="1" w:colLast="2"/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末端控制板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MS-002.22T001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132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22736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末端灯板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MS-002.24T001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29383"/>
            <w:bookmarkStart w:id="68" w:name="_Toc15049"/>
            <w:bookmarkStart w:id="69" w:name="_Toc26207"/>
            <w:bookmarkStart w:id="70" w:name="_Toc3324"/>
            <w:bookmarkStart w:id="71" w:name="_Toc16357"/>
            <w:bookmarkStart w:id="72" w:name="_Toc4741"/>
            <w:bookmarkStart w:id="73" w:name="_Toc2111"/>
            <w:bookmarkStart w:id="74" w:name="_Toc27278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786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706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4620"/>
      <w:bookmarkStart w:id="80" w:name="_Toc29300"/>
      <w:bookmarkStart w:id="81" w:name="_Toc32107"/>
      <w:bookmarkStart w:id="82" w:name="_Toc31455"/>
      <w:bookmarkStart w:id="83" w:name="_Toc602"/>
      <w:bookmarkStart w:id="84" w:name="_Toc9164"/>
      <w:bookmarkStart w:id="85" w:name="_Toc9414"/>
      <w:bookmarkStart w:id="86" w:name="_Toc1754"/>
      <w:bookmarkStart w:id="87" w:name="_Toc11888"/>
      <w:bookmarkStart w:id="88" w:name="_Toc1532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736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1667" w:type="dxa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1667" w:type="dxa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姜璞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15702"/>
      <w:bookmarkStart w:id="92" w:name="_Toc4467"/>
      <w:bookmarkStart w:id="93" w:name="_Toc28523"/>
      <w:bookmarkStart w:id="94" w:name="_Toc2006"/>
      <w:bookmarkStart w:id="95" w:name="_Toc1400"/>
      <w:bookmarkStart w:id="96" w:name="_Toc19446"/>
      <w:bookmarkStart w:id="97" w:name="_Toc19959"/>
      <w:bookmarkStart w:id="98" w:name="_Toc9029"/>
      <w:bookmarkStart w:id="99" w:name="_Toc21694"/>
      <w:bookmarkStart w:id="100" w:name="_Toc29201"/>
      <w:bookmarkStart w:id="101" w:name="_Toc2122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5244"/>
      <w:bookmarkStart w:id="103" w:name="_Toc19333"/>
      <w:bookmarkStart w:id="104" w:name="_Toc3422"/>
      <w:bookmarkStart w:id="105" w:name="_Toc26435"/>
      <w:bookmarkStart w:id="106" w:name="_Toc6986"/>
      <w:bookmarkStart w:id="107" w:name="_Toc28304"/>
      <w:bookmarkStart w:id="108" w:name="_Toc19363"/>
      <w:bookmarkStart w:id="109" w:name="_Toc25226"/>
      <w:bookmarkStart w:id="110" w:name="_Toc3397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压值在±5%范围内。末端灯板灯光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状态正常；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高低温试验后，末端灯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板灯光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状态依然正常。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315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9303"/>
      <w:bookmarkStart w:id="115" w:name="_Toc28778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电压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接入稳压电源（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V）中，测试其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按键输出至机械臂工具模拟输入口电压是否正常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分别各测3次。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末端控制板功能测试-电压</w:t>
      </w:r>
    </w:p>
    <w:tbl>
      <w:tblPr>
        <w:tblStyle w:val="32"/>
        <w:tblW w:w="72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2037"/>
        <w:gridCol w:w="1206"/>
        <w:gridCol w:w="1519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按下按键</w:t>
            </w:r>
          </w:p>
        </w:tc>
        <w:tc>
          <w:tcPr>
            <w:tcW w:w="20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预期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5%</w:t>
            </w:r>
          </w:p>
        </w:tc>
        <w:tc>
          <w:tcPr>
            <w:tcW w:w="4000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实测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SW1</w:t>
            </w:r>
          </w:p>
        </w:tc>
        <w:tc>
          <w:tcPr>
            <w:tcW w:w="20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1.999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1.999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1.999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SW2</w:t>
            </w:r>
          </w:p>
        </w:tc>
        <w:tc>
          <w:tcPr>
            <w:tcW w:w="20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3.99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3.99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SW3</w:t>
            </w:r>
          </w:p>
        </w:tc>
        <w:tc>
          <w:tcPr>
            <w:tcW w:w="20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6.02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6.03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SW4</w:t>
            </w:r>
          </w:p>
        </w:tc>
        <w:tc>
          <w:tcPr>
            <w:tcW w:w="20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8.01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8.01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8.01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灯光：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接入机械臂工具口中，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连接末端灯板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测试灯光显示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末端控制板功能测试-灯光</w:t>
      </w:r>
    </w:p>
    <w:tbl>
      <w:tblPr>
        <w:tblStyle w:val="32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1"/>
        <w:gridCol w:w="2695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预期灯光显示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实际灯光显示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机械臂掉电、按下急停按钮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灯光不亮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灯光不亮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机械臂运动中、自由拖动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蓝色闪烁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蓝色闪烁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待机状态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蓝色常亮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定位就绪（精度达到1.5mm以内）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绿色常亮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绿色常亮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套筒示踪器不可见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黄色常亮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黄色常亮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1528"/>
      <w:bookmarkStart w:id="118" w:name="_Toc26411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需要进行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功能测试，确认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电压和灯光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正常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在低温(1)、高温(3)、湿热(5)的工作状态测试时应正常工作；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在低温(2)、高温(4)、湿热(6)的储存状态测试后恢复1h应正常工作。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将末端控制板置于高低温箱，按下表6种试验条件分别设置温湿度、并持续预定的时间。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序号1,3,5条件在高低温箱里，测试控制板，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按照4.1功能测试分别测试电压和灯光状态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一小时，确认灯光状态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9" w:name="_Toc2391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从测试记录数据，计算电压值误差，均小于5%；灯光状态与预期一致，功能正常。满足要求。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经</w:t>
      </w:r>
      <w:r>
        <w:rPr>
          <w:rFonts w:hint="eastAsia"/>
          <w:highlight w:val="none"/>
          <w:lang w:val="en-US" w:eastAsia="zh-CN"/>
        </w:rPr>
        <w:t>过高低温测试后，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末端灯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板灯光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状态依然正常</w:t>
      </w:r>
      <w:r>
        <w:rPr>
          <w:rFonts w:hint="eastAsia"/>
          <w:highlight w:val="none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0" w:name="_Toc24796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20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</w:t>
      </w:r>
      <w:r>
        <w:rPr>
          <w:rFonts w:hint="eastAsia"/>
          <w:color w:val="auto"/>
          <w:sz w:val="21"/>
          <w:szCs w:val="21"/>
          <w:lang w:val="en-US" w:eastAsia="zh-CN"/>
        </w:rPr>
        <w:t>与可接受准则一致，验证通过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1" w:name="_Toc24535"/>
      <w:bookmarkStart w:id="122" w:name="_Toc75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1"/>
      <w:bookmarkEnd w:id="12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3" w:name="_Toc1499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2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4" w:name="_Toc4846"/>
      <w:bookmarkStart w:id="125" w:name="_Toc4209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24"/>
      <w:bookmarkEnd w:id="1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高低温性能试验照片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6" w:name="_Toc21815"/>
      <w:r>
        <w:rPr>
          <w:rFonts w:hint="eastAsia"/>
          <w:lang w:val="en-US" w:eastAsia="zh-CN"/>
        </w:rPr>
        <w:t>额定工作低温试验（温度-10℃，试验时通电，持续1小时）</w:t>
      </w:r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2975" cy="2612390"/>
            <wp:effectExtent l="0" t="0" r="16510" b="3175"/>
            <wp:docPr id="10" name="图片 10" descr="lADPKH7RyzdZCh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DPKH7RyzdZChPNC9DND8A_4032_3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29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额定工作低温试验(温度-10℃开始)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5945" cy="2338070"/>
            <wp:effectExtent l="0" t="0" r="5080" b="8255"/>
            <wp:docPr id="11" name="图片 11" descr="lADPKGmA01qyCg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ADPKGmA01qyCgLNC9DND8A_4032_3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额定工作低温试验（温度-10℃运行）</w:t>
      </w:r>
    </w:p>
    <w:p/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7" w:name="_Toc15816"/>
      <w:r>
        <w:rPr>
          <w:rFonts w:hint="eastAsia"/>
          <w:lang w:val="en-US" w:eastAsia="zh-CN"/>
        </w:rPr>
        <w:t>低温储存试验（温度-40℃，试验恢复后通电，持续4小时）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4205" cy="2372995"/>
            <wp:effectExtent l="0" t="0" r="8255" b="17145"/>
            <wp:docPr id="12" name="图片 12" descr="lADPJwY7Wv5h0kv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DPJwY7Wv5h0kvNC9DND8A_4032_3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42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低温储存试验（温度-40℃开始）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98065" cy="2893695"/>
            <wp:effectExtent l="0" t="0" r="6985" b="1905"/>
            <wp:docPr id="14" name="图片 14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DPKHtETJOy84rNC9DND8A_4032_3024"/>
                    <pic:cNvPicPr>
                      <a:picLocks noChangeAspect="1"/>
                    </pic:cNvPicPr>
                  </pic:nvPicPr>
                  <pic:blipFill>
                    <a:blip r:embed="rId16"/>
                    <a:srcRect l="15228" t="18644" r="47775" b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低温储存试验（温度-40℃运行）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28" w:name="_Toc412"/>
      <w:r>
        <w:rPr>
          <w:rFonts w:hint="eastAsia"/>
          <w:lang w:val="en-US" w:eastAsia="zh-CN"/>
        </w:rPr>
        <w:t>额定工作高温试验（温度50℃，试验时通电，持续1小时）</w:t>
      </w:r>
      <w:bookmarkEnd w:id="1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6120" cy="2434590"/>
            <wp:effectExtent l="0" t="0" r="3810" b="11430"/>
            <wp:docPr id="16" name="图片 16" descr="lADPJx8Z0X6Vip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DPJx8Z0X6VipLNC9DND8A_4032_30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6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额定工作高温试验（温度50℃开始）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2145" cy="2393950"/>
            <wp:effectExtent l="0" t="0" r="6350" b="8255"/>
            <wp:docPr id="17" name="图片 17" descr="lADPKGJl1hElCrz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ADPKGJl1hElCrzNC9DND8A_4032_30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21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额定工作高温试验（温度50℃运行）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9" w:name="_Toc5881"/>
      <w:r>
        <w:rPr>
          <w:rFonts w:hint="eastAsia"/>
          <w:lang w:val="en-US" w:eastAsia="zh-CN"/>
        </w:rPr>
        <w:t>高温储存试验（温度70℃，试验恢复后通电，持续4小时）</w:t>
      </w:r>
      <w:bookmarkEnd w:id="1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73095" cy="2379980"/>
            <wp:effectExtent l="0" t="0" r="1270" b="8255"/>
            <wp:docPr id="24" name="图片 24" descr="2811667905e57a465014cc6982c94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811667905e57a465014cc6982c940b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309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高温储存试验（温度70℃开始）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55925" cy="1362710"/>
            <wp:effectExtent l="0" t="0" r="15875" b="8890"/>
            <wp:docPr id="23" name="图片 23" descr="lADPJxuMUtxLIMzNBzTND6A_4000_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ADPJxuMUtxLIMzNBzTND6A_4000_1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高温储存试验（温度70℃运行）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0" w:name="_Toc26631"/>
      <w:r>
        <w:rPr>
          <w:rFonts w:hint="eastAsia"/>
          <w:lang w:val="en-US" w:eastAsia="zh-CN"/>
        </w:rPr>
        <w:t>额定工作湿热试验（温度50℃，湿度93%±3，试验时通电，持续4小时）</w:t>
      </w:r>
      <w:bookmarkEnd w:id="1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28570" cy="1896110"/>
            <wp:effectExtent l="0" t="0" r="5080" b="8890"/>
            <wp:docPr id="18" name="图片 18" descr="lADPJwY7Wv0vgA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DPJwY7Wv0vgAPNC9DND8A_4032_30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额定工作湿热试验（温度50℃湿度93%±3开始）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4285" cy="1900555"/>
            <wp:effectExtent l="0" t="0" r="18415" b="4445"/>
            <wp:docPr id="19" name="图片 19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DPKHtETJOy84r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>额定工作湿热试验（温度50℃湿度93%±3运行）</w:t>
      </w:r>
    </w:p>
    <w:p>
      <w:pPr>
        <w:pStyle w:val="6"/>
        <w:bidi w:val="0"/>
        <w:rPr>
          <w:rFonts w:hint="default"/>
          <w:lang w:val="en-US" w:eastAsia="zh-CN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lang w:val="en-US" w:eastAsia="zh-CN"/>
        </w:rPr>
      </w:pPr>
      <w:bookmarkStart w:id="131" w:name="_Toc26626"/>
      <w:r>
        <w:rPr>
          <w:rFonts w:hint="eastAsia"/>
          <w:lang w:val="en-US" w:eastAsia="zh-CN"/>
        </w:rPr>
        <w:t>湿热储存试验（温度60℃，湿度93%±3，试验恢复后通电，持续48小时）</w:t>
      </w:r>
      <w:bookmarkEnd w:id="1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54070" cy="2515870"/>
            <wp:effectExtent l="0" t="0" r="17780" b="17780"/>
            <wp:docPr id="20" name="图片 20" descr="lADPJx8Z0X_PUnT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DPJx8Z0X_PUnT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40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湿热储存试验（温度60℃湿度93%±3开始）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69945" cy="2527300"/>
            <wp:effectExtent l="0" t="0" r="6350" b="1905"/>
            <wp:docPr id="22" name="图片 22" descr="lADPD3zUV1tR0m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ADPD3zUV1tR0mP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99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湿热储存试验（温度60℃湿度93%±3运行）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sectPr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Ital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is721 LtEx BT">
    <w:panose1 w:val="020B0505020202020204"/>
    <w:charset w:val="00"/>
    <w:family w:val="auto"/>
    <w:pitch w:val="default"/>
    <w:sig w:usb0="00000000" w:usb1="00000000" w:usb2="00000000" w:usb3="00000000" w:csb0="0000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70157"/>
    <w:multiLevelType w:val="singleLevel"/>
    <w:tmpl w:val="9EB701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5206375"/>
    <w:multiLevelType w:val="singleLevel"/>
    <w:tmpl w:val="7520637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  <w:color w:val="auto"/>
      </w:rPr>
    </w:lvl>
  </w:abstractNum>
  <w:abstractNum w:abstractNumId="7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83B57"/>
    <w:rsid w:val="04DE21B6"/>
    <w:rsid w:val="04E74A1B"/>
    <w:rsid w:val="05072E07"/>
    <w:rsid w:val="05857E34"/>
    <w:rsid w:val="058E48C6"/>
    <w:rsid w:val="05C65424"/>
    <w:rsid w:val="05D31E8C"/>
    <w:rsid w:val="0601120E"/>
    <w:rsid w:val="06387B43"/>
    <w:rsid w:val="06841479"/>
    <w:rsid w:val="06856B77"/>
    <w:rsid w:val="068D3B56"/>
    <w:rsid w:val="07095757"/>
    <w:rsid w:val="070E46B4"/>
    <w:rsid w:val="071E2160"/>
    <w:rsid w:val="072B7A21"/>
    <w:rsid w:val="07622B7B"/>
    <w:rsid w:val="0791088C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A1109BA"/>
    <w:rsid w:val="0A166FEB"/>
    <w:rsid w:val="0A1C3146"/>
    <w:rsid w:val="0A5C69A3"/>
    <w:rsid w:val="0A7160AA"/>
    <w:rsid w:val="0AC756EA"/>
    <w:rsid w:val="0AD0756F"/>
    <w:rsid w:val="0AE55BDE"/>
    <w:rsid w:val="0B446AEB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CFB2154"/>
    <w:rsid w:val="0D2070E4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B1C1F"/>
    <w:rsid w:val="100B4F7A"/>
    <w:rsid w:val="105F560E"/>
    <w:rsid w:val="10710382"/>
    <w:rsid w:val="10AE1A56"/>
    <w:rsid w:val="10B6716C"/>
    <w:rsid w:val="11CE77E3"/>
    <w:rsid w:val="11DA4719"/>
    <w:rsid w:val="120D2650"/>
    <w:rsid w:val="1212349F"/>
    <w:rsid w:val="12261940"/>
    <w:rsid w:val="122B6832"/>
    <w:rsid w:val="125509B0"/>
    <w:rsid w:val="1264281A"/>
    <w:rsid w:val="126E74BC"/>
    <w:rsid w:val="12BE198C"/>
    <w:rsid w:val="12CF70D9"/>
    <w:rsid w:val="12E86988"/>
    <w:rsid w:val="12EB3CF0"/>
    <w:rsid w:val="13291624"/>
    <w:rsid w:val="13302955"/>
    <w:rsid w:val="1359264A"/>
    <w:rsid w:val="13606F15"/>
    <w:rsid w:val="138C2F4B"/>
    <w:rsid w:val="13BA0F9F"/>
    <w:rsid w:val="13C04B8D"/>
    <w:rsid w:val="141E3176"/>
    <w:rsid w:val="14202994"/>
    <w:rsid w:val="147621EA"/>
    <w:rsid w:val="14772FBD"/>
    <w:rsid w:val="147F0A9B"/>
    <w:rsid w:val="149960BD"/>
    <w:rsid w:val="14BA51FE"/>
    <w:rsid w:val="14C764EB"/>
    <w:rsid w:val="14F47F34"/>
    <w:rsid w:val="151C63E2"/>
    <w:rsid w:val="1528207A"/>
    <w:rsid w:val="154A2F50"/>
    <w:rsid w:val="154C7D85"/>
    <w:rsid w:val="15840771"/>
    <w:rsid w:val="158C144B"/>
    <w:rsid w:val="15C12A2D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83790B"/>
    <w:rsid w:val="1A86603D"/>
    <w:rsid w:val="1AEC77F1"/>
    <w:rsid w:val="1AFE4DEF"/>
    <w:rsid w:val="1B753B17"/>
    <w:rsid w:val="1B94134A"/>
    <w:rsid w:val="1BA0491E"/>
    <w:rsid w:val="1C5707D6"/>
    <w:rsid w:val="1C9555E4"/>
    <w:rsid w:val="1CB11B17"/>
    <w:rsid w:val="1CD30AF8"/>
    <w:rsid w:val="1CEF14DD"/>
    <w:rsid w:val="1CFC3931"/>
    <w:rsid w:val="1D0D1432"/>
    <w:rsid w:val="1D7E40DE"/>
    <w:rsid w:val="1D7F069E"/>
    <w:rsid w:val="1DA21EF9"/>
    <w:rsid w:val="1DAF188E"/>
    <w:rsid w:val="1DB63F7F"/>
    <w:rsid w:val="1DDB3B92"/>
    <w:rsid w:val="1DDD6F1D"/>
    <w:rsid w:val="1DF054F7"/>
    <w:rsid w:val="1DF87754"/>
    <w:rsid w:val="1DFC2656"/>
    <w:rsid w:val="1E6E7D2D"/>
    <w:rsid w:val="1E853548"/>
    <w:rsid w:val="1EB81009"/>
    <w:rsid w:val="1EDE4B3C"/>
    <w:rsid w:val="1EFA772E"/>
    <w:rsid w:val="1F2E5690"/>
    <w:rsid w:val="1F886264"/>
    <w:rsid w:val="1FB621F4"/>
    <w:rsid w:val="1FBB56A4"/>
    <w:rsid w:val="1FBC3631"/>
    <w:rsid w:val="1FE1234A"/>
    <w:rsid w:val="202979F0"/>
    <w:rsid w:val="204E0345"/>
    <w:rsid w:val="2066222C"/>
    <w:rsid w:val="208E7074"/>
    <w:rsid w:val="20933F11"/>
    <w:rsid w:val="20CC60C0"/>
    <w:rsid w:val="210A410B"/>
    <w:rsid w:val="21222C3B"/>
    <w:rsid w:val="212E613A"/>
    <w:rsid w:val="213F76AE"/>
    <w:rsid w:val="217C0CE0"/>
    <w:rsid w:val="21A70C18"/>
    <w:rsid w:val="21D20A36"/>
    <w:rsid w:val="21D656EA"/>
    <w:rsid w:val="22156154"/>
    <w:rsid w:val="225B14D1"/>
    <w:rsid w:val="2263410A"/>
    <w:rsid w:val="22701852"/>
    <w:rsid w:val="22745AB0"/>
    <w:rsid w:val="22BD1205"/>
    <w:rsid w:val="22CD2E1E"/>
    <w:rsid w:val="22FA4869"/>
    <w:rsid w:val="23241DE5"/>
    <w:rsid w:val="233B037C"/>
    <w:rsid w:val="23604D89"/>
    <w:rsid w:val="237C2FBE"/>
    <w:rsid w:val="237C40F5"/>
    <w:rsid w:val="23A6794E"/>
    <w:rsid w:val="23CF3ED7"/>
    <w:rsid w:val="2439695D"/>
    <w:rsid w:val="245C5302"/>
    <w:rsid w:val="24A00F61"/>
    <w:rsid w:val="24AC6E16"/>
    <w:rsid w:val="24D11E65"/>
    <w:rsid w:val="24FB37FD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166EBC"/>
    <w:rsid w:val="27174C5C"/>
    <w:rsid w:val="273B2347"/>
    <w:rsid w:val="274A5031"/>
    <w:rsid w:val="275060B2"/>
    <w:rsid w:val="27D11D51"/>
    <w:rsid w:val="28012D2D"/>
    <w:rsid w:val="2828646B"/>
    <w:rsid w:val="28780DDC"/>
    <w:rsid w:val="28836663"/>
    <w:rsid w:val="288F7597"/>
    <w:rsid w:val="28C12115"/>
    <w:rsid w:val="28C6093A"/>
    <w:rsid w:val="28D21BC4"/>
    <w:rsid w:val="28FB6052"/>
    <w:rsid w:val="29423709"/>
    <w:rsid w:val="29690088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D37D79"/>
    <w:rsid w:val="2AF947D7"/>
    <w:rsid w:val="2AFB4F18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554DD5"/>
    <w:rsid w:val="2C6B0C29"/>
    <w:rsid w:val="2C700036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DE49DD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CE2ED2"/>
    <w:rsid w:val="30EE0767"/>
    <w:rsid w:val="30EF4239"/>
    <w:rsid w:val="312177BE"/>
    <w:rsid w:val="3196159F"/>
    <w:rsid w:val="31C14B20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8B608A"/>
    <w:rsid w:val="33956C61"/>
    <w:rsid w:val="33AE307C"/>
    <w:rsid w:val="33EA4841"/>
    <w:rsid w:val="34B45B20"/>
    <w:rsid w:val="34F55208"/>
    <w:rsid w:val="352357C2"/>
    <w:rsid w:val="35363BF7"/>
    <w:rsid w:val="35593492"/>
    <w:rsid w:val="35A42B41"/>
    <w:rsid w:val="35A940DE"/>
    <w:rsid w:val="35AB313F"/>
    <w:rsid w:val="35B845F8"/>
    <w:rsid w:val="35BE082F"/>
    <w:rsid w:val="35E30615"/>
    <w:rsid w:val="360F2D63"/>
    <w:rsid w:val="3636736B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AA657B"/>
    <w:rsid w:val="38BB5C4A"/>
    <w:rsid w:val="38BB6A49"/>
    <w:rsid w:val="38D408E7"/>
    <w:rsid w:val="38DA36FB"/>
    <w:rsid w:val="38F20621"/>
    <w:rsid w:val="391A0F51"/>
    <w:rsid w:val="392C0D79"/>
    <w:rsid w:val="3940537B"/>
    <w:rsid w:val="394B5A2C"/>
    <w:rsid w:val="39581839"/>
    <w:rsid w:val="396D2861"/>
    <w:rsid w:val="39732C58"/>
    <w:rsid w:val="397A4CD3"/>
    <w:rsid w:val="39B44AD7"/>
    <w:rsid w:val="3A033549"/>
    <w:rsid w:val="3A2D450E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C0E3F85"/>
    <w:rsid w:val="3C4E0078"/>
    <w:rsid w:val="3C547DBA"/>
    <w:rsid w:val="3CAB7C27"/>
    <w:rsid w:val="3CBE695C"/>
    <w:rsid w:val="3CE93B0F"/>
    <w:rsid w:val="3CF22836"/>
    <w:rsid w:val="3D3324C3"/>
    <w:rsid w:val="3D4429D8"/>
    <w:rsid w:val="3D52271E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643F39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3E16E5"/>
    <w:rsid w:val="425D6094"/>
    <w:rsid w:val="42A03924"/>
    <w:rsid w:val="42CB1932"/>
    <w:rsid w:val="42D57A4D"/>
    <w:rsid w:val="42E5528F"/>
    <w:rsid w:val="42EC2BAE"/>
    <w:rsid w:val="431C38CE"/>
    <w:rsid w:val="43A053BD"/>
    <w:rsid w:val="44113CF4"/>
    <w:rsid w:val="44190B9C"/>
    <w:rsid w:val="446472DA"/>
    <w:rsid w:val="45006471"/>
    <w:rsid w:val="45170D3A"/>
    <w:rsid w:val="451A30BF"/>
    <w:rsid w:val="45351C9E"/>
    <w:rsid w:val="453F5319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591DBE"/>
    <w:rsid w:val="468B6F34"/>
    <w:rsid w:val="46A82C0F"/>
    <w:rsid w:val="46BF0E7A"/>
    <w:rsid w:val="46E207A3"/>
    <w:rsid w:val="47234D70"/>
    <w:rsid w:val="47413512"/>
    <w:rsid w:val="47E05224"/>
    <w:rsid w:val="47F20073"/>
    <w:rsid w:val="47FB1DA3"/>
    <w:rsid w:val="47FE6B56"/>
    <w:rsid w:val="480C5160"/>
    <w:rsid w:val="481B11EA"/>
    <w:rsid w:val="48A65BB4"/>
    <w:rsid w:val="48BA7D6A"/>
    <w:rsid w:val="48C20A74"/>
    <w:rsid w:val="48D622EC"/>
    <w:rsid w:val="48FF5AFC"/>
    <w:rsid w:val="495A6EFE"/>
    <w:rsid w:val="49722CA6"/>
    <w:rsid w:val="49FB4867"/>
    <w:rsid w:val="4A2A34C7"/>
    <w:rsid w:val="4A441F27"/>
    <w:rsid w:val="4A8543F7"/>
    <w:rsid w:val="4A973654"/>
    <w:rsid w:val="4ABE24F7"/>
    <w:rsid w:val="4ACA5C63"/>
    <w:rsid w:val="4AD53E5C"/>
    <w:rsid w:val="4AF04B15"/>
    <w:rsid w:val="4B4F4775"/>
    <w:rsid w:val="4B5F18B4"/>
    <w:rsid w:val="4B6D6660"/>
    <w:rsid w:val="4B74404D"/>
    <w:rsid w:val="4B771FE9"/>
    <w:rsid w:val="4B7B12A7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43A02"/>
    <w:rsid w:val="4DE92126"/>
    <w:rsid w:val="4DEE73AA"/>
    <w:rsid w:val="4E17392C"/>
    <w:rsid w:val="4E3A02A5"/>
    <w:rsid w:val="4E5F597B"/>
    <w:rsid w:val="4E71637E"/>
    <w:rsid w:val="4E890ED9"/>
    <w:rsid w:val="4E936A79"/>
    <w:rsid w:val="4EAD5058"/>
    <w:rsid w:val="4ECE31EE"/>
    <w:rsid w:val="4F4D2388"/>
    <w:rsid w:val="4F7E5C01"/>
    <w:rsid w:val="50053A06"/>
    <w:rsid w:val="502620F5"/>
    <w:rsid w:val="503C1402"/>
    <w:rsid w:val="503C5DD0"/>
    <w:rsid w:val="505C6252"/>
    <w:rsid w:val="505F6CF7"/>
    <w:rsid w:val="50630D8E"/>
    <w:rsid w:val="506675FF"/>
    <w:rsid w:val="50833832"/>
    <w:rsid w:val="5097436D"/>
    <w:rsid w:val="51114EEF"/>
    <w:rsid w:val="514002AB"/>
    <w:rsid w:val="517A0A96"/>
    <w:rsid w:val="51A40068"/>
    <w:rsid w:val="51B4616C"/>
    <w:rsid w:val="51D00B5A"/>
    <w:rsid w:val="5211791B"/>
    <w:rsid w:val="5234135F"/>
    <w:rsid w:val="523A167B"/>
    <w:rsid w:val="525F52C4"/>
    <w:rsid w:val="526F715F"/>
    <w:rsid w:val="52E83E40"/>
    <w:rsid w:val="53282999"/>
    <w:rsid w:val="53442939"/>
    <w:rsid w:val="53645648"/>
    <w:rsid w:val="5396277D"/>
    <w:rsid w:val="53C00E8A"/>
    <w:rsid w:val="53F06ED2"/>
    <w:rsid w:val="53FB1593"/>
    <w:rsid w:val="5401416D"/>
    <w:rsid w:val="543845B3"/>
    <w:rsid w:val="544F145D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1E1CF6"/>
    <w:rsid w:val="59382BA2"/>
    <w:rsid w:val="595F5340"/>
    <w:rsid w:val="59615378"/>
    <w:rsid w:val="59796F2C"/>
    <w:rsid w:val="5991247C"/>
    <w:rsid w:val="59B4591A"/>
    <w:rsid w:val="59D42E16"/>
    <w:rsid w:val="59EF7A22"/>
    <w:rsid w:val="5A1E3D25"/>
    <w:rsid w:val="5A4B619A"/>
    <w:rsid w:val="5A697F8F"/>
    <w:rsid w:val="5AA56735"/>
    <w:rsid w:val="5AEB64B7"/>
    <w:rsid w:val="5AF56C51"/>
    <w:rsid w:val="5AFA409D"/>
    <w:rsid w:val="5B2007DA"/>
    <w:rsid w:val="5B265BB3"/>
    <w:rsid w:val="5B3D25E5"/>
    <w:rsid w:val="5B6236A9"/>
    <w:rsid w:val="5B886B1C"/>
    <w:rsid w:val="5BD75A7C"/>
    <w:rsid w:val="5C0C5E39"/>
    <w:rsid w:val="5C4F21C6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E0065D6"/>
    <w:rsid w:val="5E0C752B"/>
    <w:rsid w:val="5E4F6C1E"/>
    <w:rsid w:val="5E530E11"/>
    <w:rsid w:val="5E6F3CB9"/>
    <w:rsid w:val="5E72408D"/>
    <w:rsid w:val="5E794373"/>
    <w:rsid w:val="5E88169C"/>
    <w:rsid w:val="5EBE2ED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251BBC"/>
    <w:rsid w:val="60311AF5"/>
    <w:rsid w:val="6031230F"/>
    <w:rsid w:val="603718EF"/>
    <w:rsid w:val="605B0C60"/>
    <w:rsid w:val="607C3637"/>
    <w:rsid w:val="60992A4B"/>
    <w:rsid w:val="60AC7F36"/>
    <w:rsid w:val="612A6D98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DB13DF"/>
    <w:rsid w:val="65E4754F"/>
    <w:rsid w:val="66336C28"/>
    <w:rsid w:val="6636079B"/>
    <w:rsid w:val="663C7D18"/>
    <w:rsid w:val="666E3CBE"/>
    <w:rsid w:val="668C44A1"/>
    <w:rsid w:val="66910D2B"/>
    <w:rsid w:val="66BF7EBC"/>
    <w:rsid w:val="670137FC"/>
    <w:rsid w:val="67611C38"/>
    <w:rsid w:val="67897F92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F63E90"/>
    <w:rsid w:val="6C151433"/>
    <w:rsid w:val="6C4B29AA"/>
    <w:rsid w:val="6C5C3A73"/>
    <w:rsid w:val="6C724E43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531FEA"/>
    <w:rsid w:val="6E7B6EBD"/>
    <w:rsid w:val="6E890338"/>
    <w:rsid w:val="6E8E74BF"/>
    <w:rsid w:val="6EA72622"/>
    <w:rsid w:val="6EAE75FA"/>
    <w:rsid w:val="6EE976FC"/>
    <w:rsid w:val="6F0033CF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682E70"/>
    <w:rsid w:val="70695FCF"/>
    <w:rsid w:val="707A30ED"/>
    <w:rsid w:val="708B217F"/>
    <w:rsid w:val="70A55F27"/>
    <w:rsid w:val="70AE0489"/>
    <w:rsid w:val="70B31628"/>
    <w:rsid w:val="70DC733A"/>
    <w:rsid w:val="70F463C5"/>
    <w:rsid w:val="70F669E1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4F811F5"/>
    <w:rsid w:val="750137E2"/>
    <w:rsid w:val="75054E3E"/>
    <w:rsid w:val="753328B9"/>
    <w:rsid w:val="75A97CA5"/>
    <w:rsid w:val="76004C91"/>
    <w:rsid w:val="760858AB"/>
    <w:rsid w:val="762835E4"/>
    <w:rsid w:val="764F5CB2"/>
    <w:rsid w:val="76B26B99"/>
    <w:rsid w:val="76E0667F"/>
    <w:rsid w:val="76F04F74"/>
    <w:rsid w:val="76FA0A49"/>
    <w:rsid w:val="772C405D"/>
    <w:rsid w:val="776E4EDE"/>
    <w:rsid w:val="77957652"/>
    <w:rsid w:val="77B834F8"/>
    <w:rsid w:val="77C06F6A"/>
    <w:rsid w:val="77C21D2F"/>
    <w:rsid w:val="77CA3DF5"/>
    <w:rsid w:val="77E656FC"/>
    <w:rsid w:val="78070232"/>
    <w:rsid w:val="786020ED"/>
    <w:rsid w:val="7871522C"/>
    <w:rsid w:val="7885677F"/>
    <w:rsid w:val="78857A44"/>
    <w:rsid w:val="788B7680"/>
    <w:rsid w:val="78985F5B"/>
    <w:rsid w:val="78B752CC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C12BFD"/>
    <w:rsid w:val="7BEB3862"/>
    <w:rsid w:val="7C215EFA"/>
    <w:rsid w:val="7C3E777C"/>
    <w:rsid w:val="7C5E077A"/>
    <w:rsid w:val="7C7715C0"/>
    <w:rsid w:val="7C8E1C21"/>
    <w:rsid w:val="7C8F30E4"/>
    <w:rsid w:val="7CB54C32"/>
    <w:rsid w:val="7CBA56DC"/>
    <w:rsid w:val="7CBE2D25"/>
    <w:rsid w:val="7CC112A6"/>
    <w:rsid w:val="7CF05B2D"/>
    <w:rsid w:val="7D165917"/>
    <w:rsid w:val="7D221505"/>
    <w:rsid w:val="7D2B3744"/>
    <w:rsid w:val="7D984CD3"/>
    <w:rsid w:val="7DB208E1"/>
    <w:rsid w:val="7E1077F2"/>
    <w:rsid w:val="7E1105C5"/>
    <w:rsid w:val="7E443C37"/>
    <w:rsid w:val="7E4B08C1"/>
    <w:rsid w:val="7E520754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15</Pages>
  <Words>2246</Words>
  <Characters>2667</Characters>
  <Lines>3</Lines>
  <Paragraphs>1</Paragraphs>
  <TotalTime>0</TotalTime>
  <ScaleCrop>false</ScaleCrop>
  <LinksUpToDate>false</LinksUpToDate>
  <CharactersWithSpaces>2940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2001-02-09T04:16:00Z</cp:lastPrinted>
  <dcterms:modified xsi:type="dcterms:W3CDTF">2023-08-21T03:15:08Z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79FB90D9E4F84AA0A85035B6517B1947</vt:lpwstr>
  </property>
</Properties>
</file>