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kinsoku/>
        <w:wordWrap/>
        <w:overflowPunct/>
        <w:topLinePunct w:val="0"/>
        <w:autoSpaceDE/>
        <w:autoSpaceDN/>
        <w:bidi w:val="0"/>
        <w:spacing w:before="156" w:after="156" w:line="240" w:lineRule="auto"/>
        <w:jc w:val="right"/>
        <w:textAlignment w:val="auto"/>
        <w:rPr>
          <w:rFonts w:hint="default" w:ascii="宋体" w:hAnsi="宋体" w:eastAsia="宋体" w:cs="宋体"/>
          <w:b/>
          <w:kern w:val="0"/>
          <w:szCs w:val="21"/>
          <w:lang w:val="en-US" w:eastAsia="zh-CN"/>
        </w:rPr>
      </w:pPr>
      <w:r>
        <w:rPr>
          <w:rFonts w:hint="eastAsia" w:ascii="宋体" w:hAnsi="宋体" w:cs="宋体"/>
          <w:b/>
          <w:kern w:val="0"/>
          <w:szCs w:val="21"/>
        </w:rPr>
        <w:t>MS-002.30W0</w:t>
      </w:r>
      <w:r>
        <w:rPr>
          <w:rFonts w:hint="eastAsia" w:ascii="宋体" w:hAnsi="宋体" w:cs="宋体"/>
          <w:b/>
          <w:kern w:val="0"/>
          <w:szCs w:val="21"/>
          <w:lang w:val="en-US" w:eastAsia="zh-CN"/>
        </w:rPr>
        <w:t>12</w:t>
      </w: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hint="default" w:eastAsia="宋体"/>
          <w:lang w:val="en-US" w:eastAsia="zh-CN"/>
        </w:rPr>
      </w:pP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MS-002</w:t>
      </w: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 w:val="24"/>
        </w:rPr>
      </w:pPr>
      <w:r>
        <w:pict>
          <v:shape id="_x0000_s2052" o:spid="_x0000_s2052" o:spt="202" type="#_x0000_t202" style="position:absolute;left:0pt;margin-left:-91.5pt;margin-top:23.15pt;height:60.6pt;width:595.1pt;z-index:251662336;mso-width-relative:page;mso-height-relative:page;" fillcolor="#FFFFFF" filled="t" stroked="f" coordsize="21600,21600" o:gfxdata="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bo0CtUAAAAKAQAADwAA&#10;AAAAAAABACAAAAAiAAAAZHJzL2Rvd25yZXYueG1sUEsBAhQAFAAAAAgAh07iQCB1NVtSAgAAjwQA&#10;AA4AAAAAAAAAAQAgAAAAJAEAAGRycy9lMm9Eb2MueG1sUEsFBgAAAAAGAAYAWQEAAOgFAAAAAA==&#10;">
            <v:path/>
            <v:fill on="t" color2="#FFFFF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骨科手术规划与控制</w:t>
                  </w:r>
                  <w:r>
                    <w:rPr>
                      <w:rFonts w:ascii="黑体" w:hAnsi="黑体" w:eastAsia="黑体" w:cs="黑体"/>
                      <w:sz w:val="56"/>
                      <w:szCs w:val="96"/>
                    </w:rPr>
                    <w:t>软件</w:t>
                  </w:r>
                  <w:r>
                    <w:rPr>
                      <w:rFonts w:hint="eastAsia" w:ascii="黑体" w:hAnsi="黑体" w:eastAsia="黑体" w:cs="黑体"/>
                      <w:sz w:val="56"/>
                      <w:szCs w:val="96"/>
                      <w:lang w:val="en-US" w:eastAsia="zh-CN"/>
                    </w:rPr>
                    <w:t>安全等级分析报告</w:t>
                  </w:r>
                </w:p>
              </w:txbxContent>
            </v:textbox>
          </v:shape>
        </w:pict>
      </w: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 w:val="24"/>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 w:val="24"/>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 w:val="24"/>
        </w:rPr>
      </w:pPr>
    </w:p>
    <w:p>
      <w:pPr>
        <w:keepNext/>
        <w:keepLines/>
        <w:pageBreakBefore w:val="0"/>
        <w:widowControl/>
        <w:kinsoku/>
        <w:wordWrap/>
        <w:overflowPunct/>
        <w:topLinePunct w:val="0"/>
        <w:autoSpaceDE/>
        <w:autoSpaceDN/>
        <w:bidi w:val="0"/>
        <w:spacing w:before="156" w:after="156" w:line="240" w:lineRule="auto"/>
        <w:jc w:val="left"/>
        <w:textAlignment w:val="auto"/>
        <w:rPr>
          <w:rFonts w:ascii="宋体" w:hAnsi="宋体" w:cs="宋体"/>
          <w:b/>
          <w:bCs/>
          <w:sz w:val="24"/>
        </w:rPr>
      </w:pPr>
    </w:p>
    <w:p>
      <w:pPr>
        <w:keepNext/>
        <w:keepLines/>
        <w:pageBreakBefore w:val="0"/>
        <w:widowControl/>
        <w:kinsoku/>
        <w:wordWrap/>
        <w:overflowPunct/>
        <w:topLinePunct w:val="0"/>
        <w:autoSpaceDE/>
        <w:autoSpaceDN/>
        <w:bidi w:val="0"/>
        <w:spacing w:before="156" w:after="156" w:line="240" w:lineRule="auto"/>
        <w:jc w:val="left"/>
        <w:textAlignment w:val="auto"/>
        <w:rPr>
          <w:rFonts w:ascii="宋体" w:hAnsi="宋体" w:cs="宋体"/>
          <w:b/>
          <w:bCs/>
          <w:sz w:val="24"/>
        </w:rPr>
      </w:pPr>
    </w:p>
    <w:p>
      <w:pPr>
        <w:keepNext/>
        <w:keepLines/>
        <w:pageBreakBefore w:val="0"/>
        <w:widowControl/>
        <w:kinsoku/>
        <w:wordWrap/>
        <w:overflowPunct/>
        <w:topLinePunct w:val="0"/>
        <w:autoSpaceDE/>
        <w:autoSpaceDN/>
        <w:bidi w:val="0"/>
        <w:spacing w:before="156" w:after="156"/>
        <w:textAlignment w:val="auto"/>
        <w:rPr>
          <w:rFonts w:ascii="宋体" w:hAnsi="宋体" w:cs="宋体"/>
          <w:b/>
          <w:sz w:val="52"/>
        </w:rPr>
      </w:pPr>
    </w:p>
    <w:p>
      <w:pPr>
        <w:keepNext/>
        <w:keepLines/>
        <w:pageBreakBefore w:val="0"/>
        <w:widowControl/>
        <w:kinsoku/>
        <w:wordWrap/>
        <w:overflowPunct/>
        <w:topLinePunct w:val="0"/>
        <w:autoSpaceDE/>
        <w:autoSpaceDN/>
        <w:bidi w:val="0"/>
        <w:spacing w:before="156" w:after="156"/>
        <w:textAlignment w:val="auto"/>
        <w:rPr>
          <w:rFonts w:ascii="宋体" w:hAnsi="宋体" w:cs="宋体"/>
          <w:b/>
          <w:sz w:val="52"/>
        </w:rPr>
      </w:pPr>
      <w:r>
        <w:rPr>
          <w:sz w:val="24"/>
        </w:rPr>
        <w:pict>
          <v:shape id="_x0000_s2053" o:spid="_x0000_s2053" o:spt="202" type="#_x0000_t202" style="position:absolute;left:0pt;margin-left:72.15pt;margin-top:34.4pt;height:158.2pt;width:217.85pt;mso-wrap-distance-bottom:0pt;mso-wrap-distance-left:9pt;mso-wrap-distance-right:9pt;mso-wrap-distance-top:0pt;z-index:251660288;mso-width-relative:page;mso-height-relative:page;"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bhjj11wAAAAoBAAAP&#10;AAAAAAAAAAEAIAAAACIAAABkcnMvZG93bnJldi54bWxQSwECFAAUAAAACACHTuJAWBwdAlICAACQ&#10;BAAADgAAAAAAAAABACAAAAAmAQAAZHJzL2Uyb0RvYy54bWxQSwUGAAAAAAYABgBZAQAA6gUAAAAA&#10;">
            <v:path/>
            <v:fill focussize="0,0"/>
            <v:stroke on="f" weight="0.5pt" joinstyle="miter"/>
            <v:imagedata o:title=""/>
            <o:lock v:ext="edit"/>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w:r>
    </w:p>
    <w:p>
      <w:pPr>
        <w:keepNext/>
        <w:keepLines/>
        <w:pageBreakBefore w:val="0"/>
        <w:widowControl/>
        <w:kinsoku/>
        <w:wordWrap/>
        <w:overflowPunct/>
        <w:topLinePunct w:val="0"/>
        <w:autoSpaceDE/>
        <w:autoSpaceDN/>
        <w:bidi w:val="0"/>
        <w:spacing w:before="156" w:after="156"/>
        <w:textAlignment w:val="auto"/>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w:pict>
          <v:shape id="_x0000_s2054" o:spid="_x0000_s2054" o:spt="202" type="#_x0000_t202" style="position:absolute;left:0pt;margin-left:-85.2pt;margin-top:283.9pt;height:37.3pt;width:526.85pt;z-index:251661312;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pvMifW&#10;AAAACwEAAA8AAAAAAAAAAQAgAAAAIgAAAGRycy9kb3ducmV2LnhtbFBLAQIUABQAAAAIAIdO4kBq&#10;egcRWwIAAJsEAAAOAAAAAAAAAAEAIAAAACUBAABkcnMvZTJvRG9jLnhtbFBLBQYAAAAABgAGAFkB&#10;AADyBQAAAAA=&#10;">
            <v:path/>
            <v:fill on="t" color2="#FFFFFF"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w:r>
    </w:p>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4"/>
        </w:rPr>
      </w:pPr>
      <w:r>
        <w:rPr>
          <w:rFonts w:hint="eastAsia" w:ascii="宋体" w:hAnsi="宋体" w:cs="宋体"/>
          <w:bCs/>
          <w:sz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1946"/>
        <w:gridCol w:w="3814"/>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shd w:val="pct10" w:color="auto" w:fill="auto"/>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版本号</w:t>
            </w:r>
          </w:p>
        </w:tc>
        <w:tc>
          <w:tcPr>
            <w:tcW w:w="1946" w:type="dxa"/>
            <w:shd w:val="pct10" w:color="auto" w:fill="auto"/>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发布/实施日期</w:t>
            </w:r>
          </w:p>
        </w:tc>
        <w:tc>
          <w:tcPr>
            <w:tcW w:w="3814" w:type="dxa"/>
            <w:shd w:val="pct10" w:color="auto" w:fill="auto"/>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更改内容概述</w:t>
            </w:r>
          </w:p>
        </w:tc>
        <w:tc>
          <w:tcPr>
            <w:tcW w:w="1625" w:type="dxa"/>
            <w:shd w:val="pct10" w:color="auto" w:fill="auto"/>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lang w:val="en-US" w:eastAsia="zh-CN"/>
              </w:rPr>
              <w:t>V</w:t>
            </w:r>
            <w:r>
              <w:rPr>
                <w:rFonts w:hint="eastAsia" w:ascii="宋体" w:hAnsi="宋体" w:cs="宋体"/>
                <w:bCs/>
                <w:sz w:val="21"/>
                <w:szCs w:val="21"/>
              </w:rPr>
              <w:t>1.0</w:t>
            </w: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文件新编</w:t>
            </w: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trike/>
                <w:szCs w:val="21"/>
                <w:highlight w:val="yellow"/>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trike/>
                <w:szCs w:val="21"/>
                <w:highlight w:val="yellow"/>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trike/>
                <w:szCs w:val="21"/>
                <w:highlight w:val="yellow"/>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bl>
    <w:p>
      <w:pPr>
        <w:keepNext/>
        <w:keepLines/>
        <w:pageBreakBefore w:val="0"/>
        <w:widowControl/>
        <w:kinsoku/>
        <w:wordWrap/>
        <w:overflowPunct/>
        <w:topLinePunct w:val="0"/>
        <w:autoSpaceDE/>
        <w:autoSpaceDN/>
        <w:bidi w:val="0"/>
        <w:spacing w:before="156" w:after="156"/>
        <w:jc w:val="center"/>
        <w:textAlignment w:val="auto"/>
        <w:rPr>
          <w:rFonts w:ascii="宋体" w:hAnsi="宋体" w:cs="宋体"/>
          <w:b/>
          <w:sz w:val="52"/>
        </w:rPr>
      </w:pPr>
    </w:p>
    <w:p>
      <w:pPr>
        <w:keepNext/>
        <w:keepLines/>
        <w:pageBreakBefore w:val="0"/>
        <w:widowControl/>
        <w:kinsoku/>
        <w:wordWrap/>
        <w:overflowPunct/>
        <w:topLinePunct w:val="0"/>
        <w:autoSpaceDE/>
        <w:autoSpaceDN/>
        <w:bidi w:val="0"/>
        <w:textAlignment w:val="auto"/>
      </w:pPr>
    </w:p>
    <w:p>
      <w:pPr>
        <w:keepNext/>
        <w:keepLines/>
        <w:pageBreakBefore w:val="0"/>
        <w:widowControl/>
        <w:tabs>
          <w:tab w:val="left" w:pos="3417"/>
        </w:tabs>
        <w:kinsoku/>
        <w:wordWrap/>
        <w:overflowPunct/>
        <w:topLinePunct w:val="0"/>
        <w:autoSpaceDE/>
        <w:autoSpaceDN/>
        <w:bidi w:val="0"/>
        <w:jc w:val="left"/>
        <w:textAlignment w:val="auto"/>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r>
        <w:rPr>
          <w:rFonts w:hint="eastAsia"/>
        </w:rPr>
        <w:tab/>
      </w:r>
    </w:p>
    <w:p>
      <w:pPr>
        <w:keepNext/>
        <w:keepLines/>
        <w:pageBreakBefore w:val="0"/>
        <w:widowControl/>
        <w:kinsoku/>
        <w:wordWrap/>
        <w:overflowPunct/>
        <w:topLinePunct w:val="0"/>
        <w:autoSpaceDE/>
        <w:autoSpaceDN/>
        <w:bidi w:val="0"/>
        <w:spacing w:line="240" w:lineRule="auto"/>
        <w:jc w:val="center"/>
        <w:textAlignment w:val="auto"/>
        <w:rPr>
          <w:rFonts w:ascii="宋体" w:hAnsi="宋体" w:cs="宋体"/>
          <w:b/>
          <w:sz w:val="36"/>
          <w:szCs w:val="18"/>
        </w:rPr>
      </w:pPr>
      <w:r>
        <w:rPr>
          <w:rFonts w:hint="eastAsia" w:ascii="宋体" w:hAnsi="宋体" w:cs="宋体"/>
          <w:b/>
          <w:sz w:val="36"/>
          <w:szCs w:val="18"/>
        </w:rPr>
        <w:t>目录</w:t>
      </w:r>
    </w:p>
    <w:sdt>
      <w:sdtPr>
        <w:rPr>
          <w:rFonts w:ascii="宋体" w:hAnsi="宋体" w:eastAsia="宋体" w:cs="Arial"/>
          <w:kern w:val="2"/>
          <w:sz w:val="21"/>
          <w:szCs w:val="24"/>
          <w:lang w:val="en-US" w:eastAsia="zh-CN" w:bidi="ar-SA"/>
        </w:rPr>
        <w:id w:val="147481631"/>
        <w15:color w:val="DBDBDB"/>
        <w:docPartObj>
          <w:docPartGallery w:val="Table of Contents"/>
          <w:docPartUnique/>
        </w:docPartObj>
      </w:sdtPr>
      <w:sdtEndPr>
        <w:rPr>
          <w:rFonts w:ascii="Arial" w:hAnsi="Arial" w:eastAsia="宋体" w:cs="Arial"/>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8306"/>
            </w:tabs>
          </w:pPr>
          <w:r>
            <w:rPr>
              <w:b/>
            </w:rPr>
            <w:fldChar w:fldCharType="begin"/>
          </w:r>
          <w:r>
            <w:rPr>
              <w:b/>
            </w:rPr>
            <w:instrText xml:space="preserve">TOC \o "1-3" \h \u </w:instrText>
          </w:r>
          <w:r>
            <w:rPr>
              <w:b/>
            </w:rPr>
            <w:fldChar w:fldCharType="separate"/>
          </w:r>
          <w:r>
            <w:fldChar w:fldCharType="begin"/>
          </w:r>
          <w:r>
            <w:instrText xml:space="preserve"> HYPERLINK \l _Toc9701 </w:instrText>
          </w:r>
          <w:r>
            <w:fldChar w:fldCharType="separate"/>
          </w:r>
          <w:r>
            <w:rPr>
              <w:rFonts w:hint="default"/>
              <w:lang w:val="en-US" w:eastAsia="zh-CN"/>
            </w:rPr>
            <w:t xml:space="preserve">1. </w:t>
          </w:r>
          <w:r>
            <w:rPr>
              <w:rFonts w:hint="eastAsia"/>
              <w:lang w:val="en-US" w:eastAsia="zh-CN"/>
            </w:rPr>
            <w:t>编写目的</w:t>
          </w:r>
          <w:r>
            <w:tab/>
          </w:r>
          <w:r>
            <w:fldChar w:fldCharType="begin"/>
          </w:r>
          <w:r>
            <w:instrText xml:space="preserve"> PAGEREF _Toc9701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_Toc30550 </w:instrText>
          </w:r>
          <w:r>
            <w:fldChar w:fldCharType="separate"/>
          </w:r>
          <w:r>
            <w:rPr>
              <w:rFonts w:hint="default"/>
              <w:lang w:val="en-US" w:eastAsia="zh-CN"/>
            </w:rPr>
            <w:t xml:space="preserve">2. </w:t>
          </w:r>
          <w:r>
            <w:rPr>
              <w:rFonts w:hint="eastAsia"/>
              <w:lang w:val="en-US" w:eastAsia="zh-CN"/>
            </w:rPr>
            <w:t>适用范围</w:t>
          </w:r>
          <w:r>
            <w:tab/>
          </w:r>
          <w:r>
            <w:fldChar w:fldCharType="begin"/>
          </w:r>
          <w:r>
            <w:instrText xml:space="preserve"> PAGEREF _Toc30550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_Toc19517 </w:instrText>
          </w:r>
          <w:r>
            <w:fldChar w:fldCharType="separate"/>
          </w:r>
          <w:r>
            <w:rPr>
              <w:rFonts w:hint="default"/>
              <w:lang w:val="en-US" w:eastAsia="zh-CN"/>
            </w:rPr>
            <w:t xml:space="preserve">3. </w:t>
          </w:r>
          <w:r>
            <w:rPr>
              <w:rFonts w:hint="eastAsia"/>
              <w:lang w:val="en-US" w:eastAsia="zh-CN"/>
            </w:rPr>
            <w:t>产品简介</w:t>
          </w:r>
          <w:r>
            <w:tab/>
          </w:r>
          <w:r>
            <w:fldChar w:fldCharType="begin"/>
          </w:r>
          <w:r>
            <w:instrText xml:space="preserve"> PAGEREF _Toc19517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_Toc8967 </w:instrText>
          </w:r>
          <w:r>
            <w:fldChar w:fldCharType="separate"/>
          </w:r>
          <w:r>
            <w:rPr>
              <w:rFonts w:hint="default"/>
              <w:lang w:val="en-US" w:eastAsia="zh-CN"/>
            </w:rPr>
            <w:t xml:space="preserve">4. </w:t>
          </w:r>
          <w:r>
            <w:rPr>
              <w:rFonts w:hint="eastAsia"/>
              <w:lang w:val="en-US" w:eastAsia="zh-CN"/>
            </w:rPr>
            <w:t>产品预期用途</w:t>
          </w:r>
          <w:r>
            <w:tab/>
          </w:r>
          <w:r>
            <w:fldChar w:fldCharType="begin"/>
          </w:r>
          <w:r>
            <w:instrText xml:space="preserve"> PAGEREF _Toc8967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_Toc19095 </w:instrText>
          </w:r>
          <w:r>
            <w:fldChar w:fldCharType="separate"/>
          </w:r>
          <w:r>
            <w:rPr>
              <w:rFonts w:hint="default"/>
              <w:lang w:val="en-US" w:eastAsia="zh-CN"/>
            </w:rPr>
            <w:t xml:space="preserve">5. </w:t>
          </w:r>
          <w:r>
            <w:rPr>
              <w:rFonts w:hint="eastAsia"/>
              <w:lang w:val="en-US" w:eastAsia="zh-CN"/>
            </w:rPr>
            <w:t>安全性级别依据</w:t>
          </w:r>
          <w:r>
            <w:tab/>
          </w:r>
          <w:r>
            <w:fldChar w:fldCharType="begin"/>
          </w:r>
          <w:r>
            <w:instrText xml:space="preserve"> PAGEREF _Toc19095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_Toc2764 </w:instrText>
          </w:r>
          <w:r>
            <w:fldChar w:fldCharType="separate"/>
          </w:r>
          <w:r>
            <w:rPr>
              <w:rFonts w:hint="default" w:ascii="Arial" w:hAnsi="Arial" w:eastAsia="宋体" w:cs="Arial"/>
              <w:bCs/>
              <w:kern w:val="44"/>
              <w:szCs w:val="44"/>
              <w:lang w:val="en-US" w:eastAsia="zh-CN" w:bidi="ar-SA"/>
            </w:rPr>
            <w:t xml:space="preserve">6. </w:t>
          </w:r>
          <w:r>
            <w:rPr>
              <w:rFonts w:hint="eastAsia" w:cs="Arial"/>
              <w:bCs/>
              <w:kern w:val="44"/>
              <w:szCs w:val="44"/>
              <w:lang w:val="en-US" w:eastAsia="zh-CN" w:bidi="ar-SA"/>
            </w:rPr>
            <w:t>安全性级别确定方法</w:t>
          </w:r>
          <w:r>
            <w:tab/>
          </w:r>
          <w:r>
            <w:fldChar w:fldCharType="begin"/>
          </w:r>
          <w:r>
            <w:instrText xml:space="preserve"> PAGEREF _Toc2764 \h </w:instrText>
          </w:r>
          <w:r>
            <w:fldChar w:fldCharType="separate"/>
          </w:r>
          <w:r>
            <w:t>3</w:t>
          </w:r>
          <w:r>
            <w:fldChar w:fldCharType="end"/>
          </w:r>
          <w:r>
            <w:fldChar w:fldCharType="end"/>
          </w:r>
        </w:p>
        <w:p>
          <w:pPr>
            <w:pStyle w:val="26"/>
            <w:tabs>
              <w:tab w:val="right" w:leader="dot" w:pos="8306"/>
            </w:tabs>
          </w:pPr>
          <w:r>
            <w:fldChar w:fldCharType="begin"/>
          </w:r>
          <w:r>
            <w:instrText xml:space="preserve"> HYPERLINK \l _Toc13684 </w:instrText>
          </w:r>
          <w:r>
            <w:fldChar w:fldCharType="separate"/>
          </w:r>
          <w:r>
            <w:rPr>
              <w:rFonts w:hint="default"/>
            </w:rPr>
            <w:t xml:space="preserve">6.1. </w:t>
          </w:r>
          <w:r>
            <w:rPr>
              <w:rFonts w:hint="eastAsia"/>
              <w:lang w:val="en-US" w:eastAsia="zh-CN"/>
            </w:rPr>
            <w:t>重要关注程度</w:t>
          </w:r>
          <w:r>
            <w:tab/>
          </w:r>
          <w:r>
            <w:fldChar w:fldCharType="begin"/>
          </w:r>
          <w:r>
            <w:instrText xml:space="preserve"> PAGEREF _Toc13684 \h </w:instrText>
          </w:r>
          <w:r>
            <w:fldChar w:fldCharType="separate"/>
          </w:r>
          <w:r>
            <w:t>3</w:t>
          </w:r>
          <w:r>
            <w:fldChar w:fldCharType="end"/>
          </w:r>
          <w:r>
            <w:fldChar w:fldCharType="end"/>
          </w:r>
        </w:p>
        <w:p>
          <w:pPr>
            <w:pStyle w:val="26"/>
            <w:tabs>
              <w:tab w:val="right" w:leader="dot" w:pos="8306"/>
            </w:tabs>
          </w:pPr>
          <w:r>
            <w:fldChar w:fldCharType="begin"/>
          </w:r>
          <w:r>
            <w:instrText xml:space="preserve"> HYPERLINK \l _Toc984 </w:instrText>
          </w:r>
          <w:r>
            <w:fldChar w:fldCharType="separate"/>
          </w:r>
          <w:r>
            <w:rPr>
              <w:rFonts w:hint="default" w:ascii="Arial" w:hAnsi="Arial" w:eastAsia="宋体" w:cs="Arial"/>
              <w:bCs/>
              <w:kern w:val="2"/>
              <w:szCs w:val="32"/>
              <w:lang w:val="en-US" w:eastAsia="zh-CN" w:bidi="ar-SA"/>
            </w:rPr>
            <w:t xml:space="preserve">6.2. </w:t>
          </w:r>
          <w:r>
            <w:rPr>
              <w:rFonts w:hint="eastAsia" w:cs="Arial"/>
              <w:bCs/>
              <w:kern w:val="2"/>
              <w:szCs w:val="32"/>
              <w:lang w:val="en-US" w:eastAsia="zh-CN" w:bidi="ar-SA"/>
            </w:rPr>
            <w:t>中等关注程度</w:t>
          </w:r>
          <w:r>
            <w:tab/>
          </w:r>
          <w:r>
            <w:fldChar w:fldCharType="begin"/>
          </w:r>
          <w:r>
            <w:instrText xml:space="preserve"> PAGEREF _Toc984 \h </w:instrText>
          </w:r>
          <w:r>
            <w:fldChar w:fldCharType="separate"/>
          </w:r>
          <w:r>
            <w:t>3</w:t>
          </w:r>
          <w:r>
            <w:fldChar w:fldCharType="end"/>
          </w:r>
          <w:r>
            <w:fldChar w:fldCharType="end"/>
          </w:r>
        </w:p>
        <w:p>
          <w:pPr>
            <w:pStyle w:val="26"/>
            <w:tabs>
              <w:tab w:val="right" w:leader="dot" w:pos="8306"/>
            </w:tabs>
          </w:pPr>
          <w:r>
            <w:fldChar w:fldCharType="begin"/>
          </w:r>
          <w:r>
            <w:instrText xml:space="preserve"> HYPERLINK \l _Toc15621 </w:instrText>
          </w:r>
          <w:r>
            <w:fldChar w:fldCharType="separate"/>
          </w:r>
          <w:r>
            <w:rPr>
              <w:rFonts w:hint="default" w:ascii="Arial" w:hAnsi="Arial" w:eastAsia="宋体" w:cs="Arial"/>
              <w:bCs/>
              <w:kern w:val="2"/>
              <w:szCs w:val="32"/>
              <w:lang w:val="en-US" w:eastAsia="zh-CN" w:bidi="ar-SA"/>
            </w:rPr>
            <w:t xml:space="preserve">6.3. </w:t>
          </w:r>
          <w:r>
            <w:rPr>
              <w:rFonts w:hint="eastAsia" w:cs="Arial"/>
              <w:bCs/>
              <w:kern w:val="2"/>
              <w:szCs w:val="32"/>
              <w:lang w:val="en-US" w:eastAsia="zh-CN" w:bidi="ar-SA"/>
            </w:rPr>
            <w:t>次要关注程度</w:t>
          </w:r>
          <w:r>
            <w:tab/>
          </w:r>
          <w:r>
            <w:fldChar w:fldCharType="begin"/>
          </w:r>
          <w:r>
            <w:instrText xml:space="preserve"> PAGEREF _Toc15621 \h </w:instrText>
          </w:r>
          <w:r>
            <w:fldChar w:fldCharType="separate"/>
          </w:r>
          <w:r>
            <w:t>4</w:t>
          </w:r>
          <w:r>
            <w:fldChar w:fldCharType="end"/>
          </w:r>
          <w:r>
            <w:fldChar w:fldCharType="end"/>
          </w:r>
        </w:p>
        <w:p>
          <w:pPr>
            <w:pStyle w:val="23"/>
            <w:tabs>
              <w:tab w:val="right" w:leader="dot" w:pos="8306"/>
            </w:tabs>
          </w:pPr>
          <w:r>
            <w:fldChar w:fldCharType="begin"/>
          </w:r>
          <w:r>
            <w:instrText xml:space="preserve"> HYPERLINK \l _Toc13861 </w:instrText>
          </w:r>
          <w:r>
            <w:fldChar w:fldCharType="separate"/>
          </w:r>
          <w:r>
            <w:rPr>
              <w:rFonts w:hint="default"/>
              <w:lang w:val="en-US" w:eastAsia="zh-CN"/>
            </w:rPr>
            <w:t xml:space="preserve">7. </w:t>
          </w:r>
          <w:r>
            <w:rPr>
              <w:rFonts w:hint="eastAsia"/>
              <w:lang w:val="en-US" w:eastAsia="zh-CN"/>
            </w:rPr>
            <w:t>安全性级别分析</w:t>
          </w:r>
          <w:r>
            <w:tab/>
          </w:r>
          <w:r>
            <w:fldChar w:fldCharType="begin"/>
          </w:r>
          <w:r>
            <w:instrText xml:space="preserve"> PAGEREF _Toc13861 \h </w:instrText>
          </w:r>
          <w:r>
            <w:fldChar w:fldCharType="separate"/>
          </w:r>
          <w:r>
            <w:t>4</w:t>
          </w:r>
          <w:r>
            <w:fldChar w:fldCharType="end"/>
          </w:r>
          <w:r>
            <w:fldChar w:fldCharType="end"/>
          </w:r>
        </w:p>
        <w:p>
          <w:pPr>
            <w:pStyle w:val="23"/>
            <w:tabs>
              <w:tab w:val="right" w:leader="dot" w:pos="8306"/>
            </w:tabs>
          </w:pPr>
          <w:r>
            <w:fldChar w:fldCharType="begin"/>
          </w:r>
          <w:r>
            <w:instrText xml:space="preserve"> HYPERLINK \l _Toc26562 </w:instrText>
          </w:r>
          <w:r>
            <w:fldChar w:fldCharType="separate"/>
          </w:r>
          <w:r>
            <w:rPr>
              <w:rFonts w:hint="default"/>
              <w:lang w:val="en-US" w:eastAsia="zh-CN"/>
            </w:rPr>
            <w:t xml:space="preserve">8. </w:t>
          </w:r>
          <w:r>
            <w:rPr>
              <w:rFonts w:hint="eastAsia"/>
              <w:lang w:val="en-US" w:eastAsia="zh-CN"/>
            </w:rPr>
            <w:t>安全性级别确定</w:t>
          </w:r>
          <w:r>
            <w:tab/>
          </w:r>
          <w:r>
            <w:fldChar w:fldCharType="begin"/>
          </w:r>
          <w:r>
            <w:instrText xml:space="preserve"> PAGEREF _Toc26562 \h </w:instrText>
          </w:r>
          <w:r>
            <w:fldChar w:fldCharType="separate"/>
          </w:r>
          <w:r>
            <w:t>5</w:t>
          </w:r>
          <w:r>
            <w:fldChar w:fldCharType="end"/>
          </w:r>
          <w:r>
            <w:fldChar w:fldCharType="end"/>
          </w:r>
        </w:p>
        <w:p>
          <w:pPr>
            <w:pStyle w:val="23"/>
            <w:tabs>
              <w:tab w:val="right" w:leader="dot" w:pos="8306"/>
            </w:tabs>
          </w:pPr>
          <w:r>
            <w:fldChar w:fldCharType="begin"/>
          </w:r>
          <w:r>
            <w:instrText xml:space="preserve"> HYPERLINK \l _Toc6944 </w:instrText>
          </w:r>
          <w:r>
            <w:fldChar w:fldCharType="separate"/>
          </w:r>
          <w:r>
            <w:rPr>
              <w:rFonts w:hint="eastAsia"/>
              <w:lang w:val="en-US" w:eastAsia="zh-CN"/>
            </w:rPr>
            <w:t>附件一</w:t>
          </w:r>
          <w:r>
            <w:tab/>
          </w:r>
          <w:r>
            <w:fldChar w:fldCharType="begin"/>
          </w:r>
          <w:r>
            <w:instrText xml:space="preserve"> PAGEREF _Toc6944 \h </w:instrText>
          </w:r>
          <w:r>
            <w:fldChar w:fldCharType="separate"/>
          </w:r>
          <w:r>
            <w:t>5</w:t>
          </w:r>
          <w:r>
            <w:fldChar w:fldCharType="end"/>
          </w:r>
          <w:r>
            <w:fldChar w:fldCharType="end"/>
          </w:r>
        </w:p>
        <w:p>
          <w:pPr>
            <w:keepNext/>
            <w:keepLines/>
            <w:pageBreakBefore w:val="0"/>
            <w:widowControl/>
            <w:kinsoku/>
            <w:wordWrap/>
            <w:overflowPunct/>
            <w:topLinePunct w:val="0"/>
            <w:autoSpaceDE/>
            <w:autoSpaceDN/>
            <w:bidi w:val="0"/>
            <w:textAlignment w:val="auto"/>
            <w:rPr>
              <w:b/>
            </w:rPr>
            <w:sectPr>
              <w:footerReference r:id="rId15" w:type="default"/>
              <w:pgSz w:w="11906" w:h="16838"/>
              <w:pgMar w:top="1440" w:right="1800" w:bottom="1440" w:left="1800" w:header="851" w:footer="992" w:gutter="0"/>
              <w:pgNumType w:start="1"/>
              <w:cols w:space="425" w:num="1"/>
              <w:docGrid w:type="lines" w:linePitch="312" w:charSpace="0"/>
            </w:sectPr>
          </w:pPr>
          <w:r>
            <w:fldChar w:fldCharType="end"/>
          </w:r>
          <w:bookmarkStart w:id="13" w:name="_GoBack"/>
          <w:bookmarkEnd w:id="13"/>
        </w:p>
      </w:sdtContent>
    </w:sdt>
    <w:p>
      <w:pPr>
        <w:keepNext/>
        <w:keepLines/>
        <w:pageBreakBefore w:val="0"/>
        <w:widowControl/>
        <w:kinsoku/>
        <w:wordWrap/>
        <w:overflowPunct/>
        <w:topLinePunct w:val="0"/>
        <w:autoSpaceDE/>
        <w:autoSpaceDN/>
        <w:bidi w:val="0"/>
        <w:textAlignment w:val="auto"/>
        <w:rPr>
          <w:b/>
        </w:rPr>
      </w:pP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0" w:name="_Toc9701"/>
      <w:r>
        <w:rPr>
          <w:rFonts w:hint="eastAsia"/>
          <w:lang w:val="en-US" w:eastAsia="zh-CN"/>
        </w:rPr>
        <w:t>编写目的</w:t>
      </w:r>
      <w:bookmarkEnd w:id="0"/>
    </w:p>
    <w:p>
      <w:pPr>
        <w:ind w:firstLine="420" w:firstLineChars="0"/>
        <w:rPr>
          <w:rFonts w:hint="eastAsia"/>
          <w:lang w:eastAsia="zh-CN"/>
        </w:rPr>
      </w:pPr>
      <w:r>
        <w:rPr>
          <w:rFonts w:hint="eastAsia"/>
          <w:lang w:eastAsia="zh-CN"/>
        </w:rPr>
        <w:t>编写本报告目的是对软件安全级别进行分析与界定，为患者以及使用者提供软件安全性参考考。</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1" w:name="_Toc30550"/>
      <w:r>
        <w:rPr>
          <w:rFonts w:hint="eastAsia"/>
          <w:lang w:val="en-US" w:eastAsia="zh-CN"/>
        </w:rPr>
        <w:t>适用范围</w:t>
      </w:r>
      <w:bookmarkEnd w:id="1"/>
    </w:p>
    <w:p>
      <w:pPr>
        <w:ind w:firstLine="420" w:firstLineChars="0"/>
        <w:rPr>
          <w:rFonts w:hint="default"/>
          <w:lang w:val="en-US" w:eastAsia="zh-CN"/>
        </w:rPr>
      </w:pPr>
      <w:r>
        <w:rPr>
          <w:rFonts w:hint="eastAsia"/>
          <w:lang w:val="en-US" w:eastAsia="zh-CN"/>
        </w:rPr>
        <w:t>我司骨科手术规划与控制软件。</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2" w:name="_Toc19517"/>
      <w:r>
        <w:rPr>
          <w:rFonts w:hint="eastAsia"/>
          <w:lang w:val="en-US" w:eastAsia="zh-CN"/>
        </w:rPr>
        <w:t>产品简介</w:t>
      </w:r>
      <w:bookmarkEnd w:id="2"/>
    </w:p>
    <w:p>
      <w:pPr>
        <w:bidi w:val="0"/>
        <w:ind w:firstLine="420" w:firstLineChars="0"/>
        <w:rPr>
          <w:rFonts w:hint="eastAsia"/>
          <w:bCs/>
          <w:szCs w:val="21"/>
        </w:rPr>
      </w:pPr>
      <w:r>
        <w:rPr>
          <w:rFonts w:hint="eastAsia" w:asciiTheme="minorEastAsia" w:hAnsiTheme="minorEastAsia" w:cstheme="minorEastAsia"/>
          <w:bCs/>
          <w:szCs w:val="21"/>
          <w:lang w:val="en-US" w:eastAsia="zh-CN"/>
        </w:rPr>
        <w:t>骨科手术规划与控制</w:t>
      </w:r>
      <w:r>
        <w:rPr>
          <w:rFonts w:hint="eastAsia" w:asciiTheme="minorEastAsia" w:hAnsiTheme="minorEastAsia" w:cstheme="minorEastAsia"/>
          <w:bCs/>
          <w:szCs w:val="21"/>
        </w:rPr>
        <w:t>软件，</w:t>
      </w:r>
      <w:r>
        <w:rPr>
          <w:rFonts w:hint="eastAsia" w:ascii="宋体" w:hAnsi="宋体"/>
          <w:lang w:val="en-US" w:eastAsia="zh-CN"/>
        </w:rPr>
        <w:t>用于手术规划通道，控制机械臂定位并通过双目红外相机实时监测</w:t>
      </w:r>
      <w:r>
        <w:rPr>
          <w:rFonts w:hint="eastAsia" w:ascii="宋体" w:hAnsi="宋体"/>
          <w:lang w:eastAsia="zh-CN"/>
        </w:rPr>
        <w:t>，</w:t>
      </w:r>
      <w:r>
        <w:rPr>
          <w:rFonts w:hint="eastAsia"/>
          <w:bCs/>
          <w:szCs w:val="21"/>
        </w:rPr>
        <w:t>指导外科手术。</w:t>
      </w:r>
    </w:p>
    <w:p>
      <w:pPr>
        <w:bidi w:val="0"/>
        <w:ind w:firstLine="420" w:firstLineChars="0"/>
        <w:rPr>
          <w:rFonts w:hint="default"/>
          <w:lang w:val="en-US" w:eastAsia="zh-CN"/>
        </w:rPr>
      </w:pPr>
      <w:r>
        <w:rPr>
          <w:rFonts w:hint="eastAsia" w:asciiTheme="minorEastAsia" w:hAnsiTheme="minorEastAsia" w:cstheme="minorEastAsia"/>
          <w:bCs/>
          <w:szCs w:val="21"/>
          <w:lang w:val="en-US" w:eastAsia="zh-CN"/>
        </w:rPr>
        <w:t>骨科手术规划与控制</w:t>
      </w:r>
      <w:r>
        <w:rPr>
          <w:rFonts w:hint="eastAsia" w:asciiTheme="minorEastAsia" w:hAnsiTheme="minorEastAsia" w:cstheme="minorEastAsia"/>
          <w:bCs/>
          <w:szCs w:val="21"/>
        </w:rPr>
        <w:t>软件</w:t>
      </w:r>
      <w:r>
        <w:rPr>
          <w:rFonts w:hint="eastAsia"/>
          <w:lang w:val="en-US" w:eastAsia="zh-CN"/>
        </w:rPr>
        <w:t>包括启动、登录、患者管理、方案与流程管理、CT导入、四视图、CT处理、CT分椎、规划、术前准备、X光注册、X光分椎、图像配准、定位导航、反馈验证、配置管理、设备自检、日志管理、双目相机、机械臂控制、C臂机通信、系统功能二十二</w:t>
      </w:r>
      <w:r>
        <w:rPr>
          <w:rFonts w:hint="eastAsia"/>
          <w:lang w:eastAsia="zh-CN"/>
        </w:rPr>
        <w:t>个功能</w:t>
      </w:r>
      <w:r>
        <w:rPr>
          <w:rFonts w:hint="eastAsia"/>
          <w:lang w:val="en-US" w:eastAsia="zh-CN"/>
        </w:rPr>
        <w:t>模块</w:t>
      </w:r>
      <w:r>
        <w:rPr>
          <w:rFonts w:hint="eastAsia"/>
          <w:lang w:eastAsia="zh-CN"/>
        </w:rPr>
        <w:t>。</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3" w:name="_Toc8967"/>
      <w:r>
        <w:rPr>
          <w:rFonts w:hint="eastAsia"/>
          <w:lang w:val="en-US" w:eastAsia="zh-CN"/>
        </w:rPr>
        <w:t>产品预期用途</w:t>
      </w:r>
      <w:bookmarkEnd w:id="3"/>
    </w:p>
    <w:p>
      <w:pPr>
        <w:ind w:firstLine="420" w:firstLineChars="0"/>
        <w:rPr>
          <w:rFonts w:hint="default"/>
          <w:lang w:val="en-US" w:eastAsia="zh-CN"/>
        </w:rPr>
      </w:pPr>
      <w:r>
        <w:rPr>
          <w:rFonts w:hint="eastAsia"/>
          <w:lang w:val="en-US" w:eastAsia="zh-CN"/>
        </w:rPr>
        <w:t>用于骨外科开放或经皮手术的导航定位。</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4" w:name="_Toc19095"/>
      <w:r>
        <w:rPr>
          <w:rFonts w:hint="eastAsia"/>
          <w:lang w:val="en-US" w:eastAsia="zh-CN"/>
        </w:rPr>
        <w:t>安全性级别依据</w:t>
      </w:r>
      <w:bookmarkEnd w:id="4"/>
    </w:p>
    <w:p>
      <w:pPr>
        <w:numPr>
          <w:ilvl w:val="0"/>
          <w:numId w:val="0"/>
        </w:numPr>
        <w:ind w:left="420" w:leftChars="0" w:firstLine="420" w:firstLineChars="0"/>
        <w:rPr>
          <w:rFonts w:hint="eastAsia"/>
          <w:lang w:val="en-US" w:eastAsia="zh-CN"/>
        </w:rPr>
      </w:pPr>
      <w:r>
        <w:rPr>
          <w:rFonts w:hint="default"/>
          <w:lang w:val="en-US" w:eastAsia="zh-CN"/>
        </w:rPr>
        <w:t>根据YY/T</w:t>
      </w:r>
      <w:r>
        <w:rPr>
          <w:rFonts w:hint="eastAsia"/>
          <w:lang w:val="en-US" w:eastAsia="zh-CN"/>
        </w:rPr>
        <w:t xml:space="preserve"> </w:t>
      </w:r>
      <w:r>
        <w:rPr>
          <w:rFonts w:hint="default"/>
          <w:lang w:val="en-US" w:eastAsia="zh-CN"/>
        </w:rPr>
        <w:t>0664-</w:t>
      </w:r>
      <w:r>
        <w:rPr>
          <w:rFonts w:hint="eastAsia"/>
          <w:lang w:val="en-US" w:eastAsia="zh-CN"/>
        </w:rPr>
        <w:t>2020</w:t>
      </w:r>
      <w:r>
        <w:rPr>
          <w:rFonts w:hint="default"/>
          <w:lang w:val="en-US" w:eastAsia="zh-CN"/>
        </w:rPr>
        <w:t>：《医疗器械 软件</w:t>
      </w:r>
      <w:r>
        <w:rPr>
          <w:rFonts w:hint="eastAsia"/>
          <w:lang w:val="en-US" w:eastAsia="zh-CN"/>
        </w:rPr>
        <w:t>生存周期</w:t>
      </w:r>
      <w:r>
        <w:rPr>
          <w:rFonts w:hint="default"/>
          <w:lang w:val="en-US" w:eastAsia="zh-CN"/>
        </w:rPr>
        <w:t>过程》</w:t>
      </w:r>
      <w:r>
        <w:rPr>
          <w:rFonts w:hint="eastAsia"/>
          <w:lang w:val="en-US" w:eastAsia="zh-CN"/>
        </w:rPr>
        <w:t>，安全性级别定义及要求如下：</w:t>
      </w:r>
      <w:r>
        <w:rPr>
          <w:rFonts w:hint="eastAsia"/>
          <w:lang w:val="en-US" w:eastAsia="zh-CN"/>
        </w:rPr>
        <w:tab/>
      </w:r>
    </w:p>
    <w:p>
      <w:pPr>
        <w:numPr>
          <w:ilvl w:val="0"/>
          <w:numId w:val="2"/>
        </w:numPr>
        <w:ind w:left="420" w:leftChars="0" w:firstLine="420" w:firstLineChars="0"/>
        <w:rPr>
          <w:rFonts w:hint="eastAsia"/>
          <w:lang w:val="en-US" w:eastAsia="zh-CN"/>
        </w:rPr>
      </w:pPr>
      <w:r>
        <w:rPr>
          <w:rFonts w:hint="eastAsia"/>
          <w:lang w:val="en-US" w:eastAsia="zh-CN"/>
        </w:rPr>
        <w:t>制造商应根据软件系统在最不利的情况下促成的危险情况引发的对患者、操作者或其他人员伤害的风险、赋予每个软件系统一个软件安全级别（A、B或C）。</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下列情况下软件系统的安全级别为A：</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——软件系统不可能促成危险情况：</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——在考虑外部风险控制措施后，软件系统可能促成不导致不可接受风险的危险情况。</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下列情况下软件系统的软件安全级别为B：</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——在考虑外部风险控制措施后，软件系统可能促成导致不可接受风险的危险情况，且导致的可能伤害是非严重损伤。</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下列情况下软件系统的软件安全级别为C：</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——在考虑外部风险控制措施后，如软件系统可能促成导致不可接受风险的危险情况，且导致的可能伤害是死亡或严重损伤。</w:t>
      </w:r>
    </w:p>
    <w:p>
      <w:pPr>
        <w:pStyle w:val="2"/>
        <w:numPr>
          <w:ilvl w:val="0"/>
          <w:numId w:val="0"/>
        </w:numPr>
        <w:ind w:left="420" w:leftChars="0" w:right="1680" w:rightChars="700" w:firstLine="630" w:firstLineChars="300"/>
        <w:rPr>
          <w:rFonts w:hint="default" w:eastAsia="宋体" w:asciiTheme="minorAscii" w:hAnsiTheme="minorAscii" w:cstheme="minorBidi"/>
          <w:kern w:val="2"/>
          <w:sz w:val="21"/>
          <w:szCs w:val="24"/>
          <w:lang w:val="en-US" w:eastAsia="zh-CN" w:bidi="ar-SA"/>
        </w:rPr>
      </w:pPr>
      <w:r>
        <w:rPr>
          <w:rFonts w:hint="eastAsia" w:eastAsia="宋体" w:asciiTheme="minorAscii" w:hAnsiTheme="minorAscii" w:cstheme="minorBidi"/>
          <w:kern w:val="2"/>
          <w:sz w:val="21"/>
          <w:szCs w:val="24"/>
          <w:lang w:val="en-US" w:eastAsia="zh-CN" w:bidi="ar-SA"/>
        </w:rPr>
        <w:t>对于最初分类为软件安全级别B或C的软件系统，制造商可以实施软件系统外部附加风险控制措施（包括修改含有软件系统的系统体系结构），并在随后为软件系统赋予新的软件安全级别。</w:t>
      </w:r>
    </w:p>
    <w:p>
      <w:pPr>
        <w:numPr>
          <w:ilvl w:val="0"/>
          <w:numId w:val="0"/>
        </w:numPr>
        <w:ind w:firstLine="420" w:firstLineChars="0"/>
        <w:rPr>
          <w:rFonts w:hint="eastAsia"/>
          <w:lang w:val="en-US" w:eastAsia="zh-CN"/>
        </w:rPr>
      </w:pPr>
      <w:r>
        <w:rPr>
          <w:rFonts w:hint="eastAsia"/>
          <w:lang w:val="en-US" w:eastAsia="zh-CN"/>
        </w:rPr>
        <w:t>b) 制造商应在风险管理文档中将赋予每个软件系统的软件安全级别形成文件。</w:t>
      </w:r>
    </w:p>
    <w:p>
      <w:pPr>
        <w:numPr>
          <w:ilvl w:val="0"/>
          <w:numId w:val="0"/>
        </w:numPr>
        <w:ind w:firstLine="420" w:firstLineChars="0"/>
        <w:rPr>
          <w:rFonts w:hint="eastAsia"/>
          <w:lang w:val="en-US" w:eastAsia="zh-CN"/>
        </w:rPr>
      </w:pPr>
      <w:r>
        <w:rPr>
          <w:rFonts w:hint="eastAsia"/>
          <w:lang w:val="en-US" w:eastAsia="zh-CN"/>
        </w:rPr>
        <w:t>c) 当一个软件系统分解为多个软件项，及当一个软件项又进一步分解为多个软件项时，此类软件项应继承原软件项（或软件系统）的软件安全级别，除非制造商以文件形式说明分类为不同软件安全级别的理由【根据4.3 a)用“软件项”替换“软件系统”赋予的软件安全级别】。此类理由说明应解释新的软件项如何被隔离，以便可对其单独分级。</w:t>
      </w:r>
    </w:p>
    <w:p>
      <w:pPr>
        <w:numPr>
          <w:ilvl w:val="0"/>
          <w:numId w:val="0"/>
        </w:numPr>
        <w:ind w:firstLine="420" w:firstLineChars="0"/>
        <w:rPr>
          <w:rFonts w:hint="eastAsia"/>
          <w:lang w:val="en-US" w:eastAsia="zh-CN"/>
        </w:rPr>
      </w:pPr>
      <w:r>
        <w:rPr>
          <w:rFonts w:hint="eastAsia"/>
          <w:lang w:val="en-US" w:eastAsia="zh-CN"/>
        </w:rPr>
        <w:t>d) 如果以分解方式产生的软件项的安全级别与其原软件项不同，制造商应每个此类软件项的软件安全级别形成文件。</w:t>
      </w:r>
    </w:p>
    <w:p>
      <w:pPr>
        <w:numPr>
          <w:ilvl w:val="0"/>
          <w:numId w:val="0"/>
        </w:numPr>
        <w:ind w:firstLine="420" w:firstLineChars="0"/>
        <w:rPr>
          <w:rFonts w:hint="default"/>
          <w:lang w:val="en-US" w:eastAsia="zh-CN"/>
        </w:rPr>
      </w:pPr>
      <w:r>
        <w:rPr>
          <w:rFonts w:hint="eastAsia"/>
          <w:lang w:val="en-US" w:eastAsia="zh-CN"/>
        </w:rPr>
        <w:t>e) 为符合本标准，当本标准应用于一组软件项时，制造商应使用此组中级别最高的软件项所要求的诸过程和任务，除非制造商在风险管理文档中将使用较低级别的理由说明形成文件。</w:t>
      </w:r>
    </w:p>
    <w:p>
      <w:pPr>
        <w:numPr>
          <w:ilvl w:val="0"/>
          <w:numId w:val="0"/>
        </w:numPr>
        <w:ind w:firstLine="420" w:firstLineChars="0"/>
        <w:rPr>
          <w:rFonts w:hint="default"/>
          <w:lang w:val="en-US" w:eastAsia="zh-CN"/>
        </w:rPr>
      </w:pPr>
      <w:r>
        <w:rPr>
          <w:rFonts w:hint="eastAsia"/>
          <w:lang w:val="en-US" w:eastAsia="zh-CN"/>
        </w:rPr>
        <w:t>f) 对每个软件系统，在赋予软件安全级别以前，均应应用C级要求。</w:t>
      </w:r>
    </w:p>
    <w:p>
      <w:pPr>
        <w:pStyle w:val="3"/>
        <w:keepNext/>
        <w:keepLines/>
        <w:pageBreakBefore w:val="0"/>
        <w:widowControl/>
        <w:kinsoku/>
        <w:wordWrap/>
        <w:overflowPunct/>
        <w:topLinePunct w:val="0"/>
        <w:autoSpaceDE/>
        <w:autoSpaceDN/>
        <w:bidi w:val="0"/>
        <w:spacing w:before="312" w:after="312"/>
        <w:textAlignment w:val="auto"/>
        <w:rPr>
          <w:rFonts w:hint="eastAsia" w:ascii="Arial" w:hAnsi="Arial" w:eastAsia="宋体" w:cs="Arial"/>
          <w:b/>
          <w:bCs/>
          <w:kern w:val="44"/>
          <w:sz w:val="28"/>
          <w:szCs w:val="44"/>
          <w:lang w:val="en-US" w:eastAsia="zh-CN" w:bidi="ar-SA"/>
        </w:rPr>
      </w:pPr>
      <w:bookmarkStart w:id="5" w:name="_Toc2764"/>
      <w:r>
        <w:rPr>
          <w:rFonts w:hint="eastAsia" w:cs="Arial"/>
          <w:b/>
          <w:bCs/>
          <w:kern w:val="44"/>
          <w:sz w:val="28"/>
          <w:szCs w:val="44"/>
          <w:lang w:val="en-US" w:eastAsia="zh-CN" w:bidi="ar-SA"/>
        </w:rPr>
        <w:t>安全性级别确定方法</w:t>
      </w:r>
      <w:bookmarkEnd w:id="5"/>
    </w:p>
    <w:p>
      <w:pPr>
        <w:pStyle w:val="4"/>
      </w:pPr>
      <w:bookmarkStart w:id="6" w:name="_Toc13684"/>
      <w:r>
        <w:rPr>
          <w:rFonts w:hint="eastAsia"/>
          <w:lang w:val="en-US" w:eastAsia="zh-CN"/>
        </w:rPr>
        <w:t>重要关注程度</w:t>
      </w:r>
      <w:bookmarkEnd w:id="6"/>
    </w:p>
    <w:p>
      <w:pPr>
        <w:ind w:firstLine="420" w:firstLineChars="0"/>
      </w:pPr>
      <w:r>
        <w:t>如果下面任何一个问题的答案是肯定的，那么对软件设备的关注程度</w:t>
      </w:r>
      <w:r>
        <w:rPr>
          <w:rFonts w:hint="eastAsia"/>
        </w:rPr>
        <w:t>就</w:t>
      </w:r>
      <w:r>
        <w:t>是</w:t>
      </w:r>
      <w:r>
        <w:rPr>
          <w:rFonts w:hint="eastAsia"/>
        </w:rPr>
        <w:t>重</w:t>
      </w:r>
      <w:r>
        <w:t>要的。</w:t>
      </w:r>
    </w:p>
    <w:p>
      <w:pPr>
        <w:numPr>
          <w:ilvl w:val="0"/>
          <w:numId w:val="3"/>
        </w:numPr>
        <w:ind w:left="420" w:leftChars="0"/>
        <w:rPr>
          <w:rFonts w:hint="eastAsia"/>
        </w:rPr>
      </w:pPr>
      <w:r>
        <w:t>该软件</w:t>
      </w:r>
      <w:r>
        <w:rPr>
          <w:rFonts w:hint="eastAsia"/>
        </w:rPr>
        <w:t>设备</w:t>
      </w:r>
      <w:r>
        <w:t>是否符合血站计算机软件的资格</w:t>
      </w:r>
      <w:r>
        <w:rPr>
          <w:rFonts w:hint="eastAsia"/>
        </w:rPr>
        <w:t>？</w:t>
      </w:r>
    </w:p>
    <w:p>
      <w:pPr>
        <w:numPr>
          <w:ilvl w:val="0"/>
          <w:numId w:val="3"/>
        </w:numPr>
        <w:ind w:left="420" w:leftChars="0"/>
        <w:rPr>
          <w:rFonts w:hint="default"/>
          <w:lang w:val="en-US" w:eastAsia="zh-CN"/>
        </w:rPr>
      </w:pPr>
      <w:r>
        <w:t>该软件设备是否打算与药物或生物制剂结合使用?</w:t>
      </w:r>
    </w:p>
    <w:p>
      <w:pPr>
        <w:numPr>
          <w:ilvl w:val="0"/>
          <w:numId w:val="3"/>
        </w:numPr>
        <w:ind w:left="420" w:leftChars="0"/>
        <w:rPr>
          <w:rFonts w:hint="default"/>
          <w:lang w:val="en-US" w:eastAsia="zh-CN"/>
        </w:rPr>
      </w:pPr>
      <w:r>
        <w:rPr>
          <w:rFonts w:hint="eastAsia"/>
        </w:rPr>
        <w:t>该</w:t>
      </w:r>
      <w:r>
        <w:t>软件设备是</w:t>
      </w:r>
      <w:r>
        <w:rPr>
          <w:rFonts w:hint="eastAsia"/>
        </w:rPr>
        <w:t>具有重要关注程度的</w:t>
      </w:r>
      <w:r>
        <w:t>医疗设备的附件吗</w:t>
      </w:r>
      <w:r>
        <w:rPr>
          <w:rFonts w:hint="eastAsia"/>
        </w:rPr>
        <w:t>？</w:t>
      </w:r>
    </w:p>
    <w:p>
      <w:pPr>
        <w:numPr>
          <w:ilvl w:val="0"/>
          <w:numId w:val="3"/>
        </w:numPr>
        <w:ind w:left="420" w:leftChars="0"/>
        <w:rPr>
          <w:rFonts w:hint="default"/>
          <w:lang w:val="en-US" w:eastAsia="zh-CN"/>
        </w:rPr>
      </w:pPr>
      <w:r>
        <w:t>在减轻危害之前，软件设备的故障会导致患者或设备用户的死亡或严重伤害吗?这方面的例子包括:</w:t>
      </w:r>
    </w:p>
    <w:p>
      <w:pPr>
        <w:widowControl w:val="0"/>
        <w:numPr>
          <w:ilvl w:val="0"/>
          <w:numId w:val="4"/>
        </w:numPr>
        <w:spacing w:line="360" w:lineRule="auto"/>
        <w:ind w:left="840" w:leftChars="0"/>
        <w:jc w:val="both"/>
        <w:rPr>
          <w:rFonts w:hint="eastAsia"/>
        </w:rPr>
      </w:pPr>
      <w:r>
        <w:t>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p>
      <w:pPr>
        <w:widowControl w:val="0"/>
        <w:numPr>
          <w:ilvl w:val="0"/>
          <w:numId w:val="4"/>
        </w:numPr>
        <w:spacing w:line="360" w:lineRule="auto"/>
        <w:ind w:left="840" w:leftChars="0"/>
        <w:jc w:val="both"/>
        <w:rPr>
          <w:rFonts w:hint="default"/>
          <w:lang w:val="en-US" w:eastAsia="zh-CN"/>
        </w:rPr>
      </w:pPr>
      <w:r>
        <w:t>该软件设备是否控制可能导致死亡或严重伤害的潜在有害能量的传递，如辐射治疗系统、除颤器和消融发生器?</w:t>
      </w:r>
      <w:r>
        <w:rPr>
          <w:rFonts w:hint="eastAsia"/>
        </w:rPr>
        <w:t xml:space="preserve"> </w:t>
      </w:r>
    </w:p>
    <w:p>
      <w:pPr>
        <w:widowControl w:val="0"/>
        <w:numPr>
          <w:ilvl w:val="0"/>
          <w:numId w:val="4"/>
        </w:numPr>
        <w:spacing w:line="360" w:lineRule="auto"/>
        <w:ind w:left="840" w:leftChars="0"/>
        <w:jc w:val="both"/>
        <w:rPr>
          <w:rFonts w:hint="default"/>
          <w:lang w:val="en-US" w:eastAsia="zh-CN"/>
        </w:rPr>
      </w:pPr>
      <w:r>
        <w:t>软件设备是否控制治疗或治疗的交付，使错误或故障可能导致死亡或严重伤害?</w:t>
      </w:r>
    </w:p>
    <w:p>
      <w:pPr>
        <w:widowControl w:val="0"/>
        <w:numPr>
          <w:ilvl w:val="0"/>
          <w:numId w:val="4"/>
        </w:numPr>
        <w:spacing w:line="360" w:lineRule="auto"/>
        <w:ind w:left="840" w:leftChars="0"/>
        <w:jc w:val="both"/>
        <w:rPr>
          <w:rFonts w:hint="default"/>
          <w:lang w:val="en-US" w:eastAsia="zh-CN"/>
        </w:rPr>
      </w:pPr>
      <w:r>
        <w:t>该软件设备是否提供直接驱动治疗或治疗决策的诊断信息，</w:t>
      </w:r>
      <w:r>
        <w:rPr>
          <w:rFonts w:hint="eastAsia"/>
        </w:rPr>
        <w:t>如</w:t>
      </w:r>
      <w:r>
        <w:t>果使用不当可能导致严重伤害或死亡?</w:t>
      </w:r>
      <w:r>
        <w:rPr>
          <w:rFonts w:hint="eastAsia"/>
        </w:rPr>
        <w:t xml:space="preserve"> </w:t>
      </w:r>
    </w:p>
    <w:p>
      <w:pPr>
        <w:widowControl w:val="0"/>
        <w:numPr>
          <w:ilvl w:val="0"/>
          <w:numId w:val="4"/>
        </w:numPr>
        <w:spacing w:line="360" w:lineRule="auto"/>
        <w:ind w:left="840" w:leftChars="0"/>
        <w:jc w:val="both"/>
      </w:pPr>
      <w:r>
        <w:t>该软件设备是否为需要医疗干预的潜在生命威胁情况提供生命体征监测和警报?</w:t>
      </w:r>
    </w:p>
    <w:p>
      <w:pPr>
        <w:pStyle w:val="4"/>
        <w:rPr>
          <w:rFonts w:ascii="Arial" w:hAnsi="Arial" w:eastAsia="宋体" w:cs="Arial"/>
          <w:b/>
          <w:bCs/>
          <w:kern w:val="2"/>
          <w:sz w:val="24"/>
          <w:szCs w:val="32"/>
          <w:lang w:val="en-US" w:eastAsia="zh-CN" w:bidi="ar-SA"/>
        </w:rPr>
      </w:pPr>
      <w:bookmarkStart w:id="7" w:name="_Toc984"/>
      <w:r>
        <w:rPr>
          <w:rFonts w:hint="eastAsia" w:cs="Arial"/>
          <w:b/>
          <w:bCs/>
          <w:kern w:val="2"/>
          <w:sz w:val="24"/>
          <w:szCs w:val="32"/>
          <w:lang w:val="en-US" w:eastAsia="zh-CN" w:bidi="ar-SA"/>
        </w:rPr>
        <w:t>中等关注程度</w:t>
      </w:r>
      <w:bookmarkEnd w:id="7"/>
    </w:p>
    <w:p>
      <w:pPr>
        <w:ind w:firstLine="420" w:firstLineChars="0"/>
      </w:pPr>
      <w:r>
        <w:t>如果软件设备不是</w:t>
      </w:r>
      <w:r>
        <w:rPr>
          <w:rFonts w:hint="eastAsia"/>
        </w:rPr>
        <w:t>重</w:t>
      </w:r>
      <w:r>
        <w:t>要关注</w:t>
      </w:r>
      <w:r>
        <w:rPr>
          <w:rFonts w:hint="eastAsia"/>
        </w:rPr>
        <w:t>程度</w:t>
      </w:r>
      <w:r>
        <w:t>，并且下面任何一个问题的答案</w:t>
      </w:r>
      <w:r>
        <w:rPr>
          <w:rFonts w:hint="eastAsia"/>
          <w:lang w:eastAsia="zh-CN"/>
        </w:rPr>
        <w:t>为</w:t>
      </w:r>
      <w:r>
        <w:rPr>
          <w:rFonts w:hint="eastAsia"/>
        </w:rPr>
        <w:t>是</w:t>
      </w:r>
      <w:r>
        <w:t>，那么关注</w:t>
      </w:r>
      <w:r>
        <w:rPr>
          <w:rFonts w:hint="eastAsia"/>
        </w:rPr>
        <w:t>程度</w:t>
      </w:r>
      <w:r>
        <w:t>是中等的。</w:t>
      </w:r>
    </w:p>
    <w:p>
      <w:pPr>
        <w:numPr>
          <w:ilvl w:val="0"/>
          <w:numId w:val="5"/>
        </w:numPr>
        <w:ind w:left="420" w:leftChars="0"/>
        <w:rPr>
          <w:rFonts w:hint="eastAsia"/>
        </w:rPr>
      </w:pPr>
      <w:r>
        <w:rPr>
          <w:rFonts w:hint="eastAsia"/>
        </w:rPr>
        <w:t>该</w:t>
      </w:r>
      <w:r>
        <w:t>软件设备是</w:t>
      </w:r>
      <w:r>
        <w:rPr>
          <w:rFonts w:hint="eastAsia"/>
        </w:rPr>
        <w:t>具有中等关注程度的</w:t>
      </w:r>
      <w:r>
        <w:t>医疗设备的附件吗</w:t>
      </w:r>
      <w:r>
        <w:rPr>
          <w:rFonts w:hint="eastAsia"/>
        </w:rPr>
        <w:t>？</w:t>
      </w:r>
    </w:p>
    <w:p>
      <w:pPr>
        <w:widowControl w:val="0"/>
        <w:numPr>
          <w:ilvl w:val="0"/>
          <w:numId w:val="5"/>
        </w:numPr>
        <w:spacing w:line="360" w:lineRule="auto"/>
        <w:ind w:left="420" w:leftChars="0" w:firstLine="0" w:firstLineChars="0"/>
        <w:jc w:val="both"/>
        <w:rPr>
          <w:rFonts w:hint="eastAsia"/>
        </w:rPr>
      </w:pPr>
      <w:r>
        <w:t>在减轻危害之前，软件设备的故障会对患者或该设备的用户造成轻微伤害吗?</w:t>
      </w:r>
      <w:r>
        <w:rPr>
          <w:rFonts w:hint="eastAsia"/>
        </w:rPr>
        <w:t xml:space="preserve"> </w:t>
      </w:r>
    </w:p>
    <w:p>
      <w:pPr>
        <w:widowControl w:val="0"/>
        <w:numPr>
          <w:ilvl w:val="0"/>
          <w:numId w:val="5"/>
        </w:numPr>
        <w:spacing w:line="360" w:lineRule="auto"/>
        <w:ind w:left="420" w:leftChars="0" w:firstLine="0" w:firstLineChars="0"/>
        <w:jc w:val="both"/>
        <w:rPr>
          <w:lang w:val="en-US" w:eastAsia="zh-CN"/>
        </w:rPr>
      </w:pPr>
      <w:r>
        <w:t>软件设备的故障或潜在的设计缺陷是否会导致错误的诊断或延迟提供适当的医疗服务，从而可能导致轻伤?</w:t>
      </w:r>
    </w:p>
    <w:p>
      <w:pPr>
        <w:pStyle w:val="4"/>
        <w:rPr>
          <w:rFonts w:ascii="Arial" w:hAnsi="Arial" w:eastAsia="宋体" w:cs="Arial"/>
          <w:b/>
          <w:bCs/>
          <w:kern w:val="2"/>
          <w:sz w:val="24"/>
          <w:szCs w:val="32"/>
          <w:lang w:val="en-US" w:eastAsia="zh-CN" w:bidi="ar-SA"/>
        </w:rPr>
      </w:pPr>
      <w:bookmarkStart w:id="8" w:name="_Toc15621"/>
      <w:r>
        <w:rPr>
          <w:rFonts w:hint="eastAsia" w:cs="Arial"/>
          <w:b/>
          <w:bCs/>
          <w:kern w:val="2"/>
          <w:sz w:val="24"/>
          <w:szCs w:val="32"/>
          <w:lang w:val="en-US" w:eastAsia="zh-CN" w:bidi="ar-SA"/>
        </w:rPr>
        <w:t>次要关注程度</w:t>
      </w:r>
      <w:bookmarkEnd w:id="8"/>
    </w:p>
    <w:p>
      <w:pPr>
        <w:widowControl w:val="0"/>
        <w:numPr>
          <w:ilvl w:val="0"/>
          <w:numId w:val="0"/>
        </w:numPr>
        <w:spacing w:line="360" w:lineRule="auto"/>
        <w:ind w:leftChars="0" w:firstLine="420" w:firstLineChars="0"/>
        <w:jc w:val="both"/>
        <w:rPr>
          <w:lang w:val="en-US" w:eastAsia="zh-CN"/>
        </w:rPr>
      </w:pPr>
      <w:r>
        <w:t>如果上面</w:t>
      </w:r>
      <w:r>
        <w:rPr>
          <w:rFonts w:hint="eastAsia"/>
          <w:lang w:val="en-US" w:eastAsia="zh-CN"/>
        </w:rPr>
        <w:t>6.1</w:t>
      </w:r>
      <w:r>
        <w:t>和</w:t>
      </w:r>
      <w:r>
        <w:rPr>
          <w:rFonts w:hint="eastAsia"/>
          <w:lang w:val="en-US" w:eastAsia="zh-CN"/>
        </w:rPr>
        <w:t>6.2</w:t>
      </w:r>
      <w:r>
        <w:t>中所有问题的答案都是否定的，那么关注的程度就</w:t>
      </w:r>
      <w:r>
        <w:rPr>
          <w:rFonts w:hint="eastAsia"/>
        </w:rPr>
        <w:t>是次</w:t>
      </w:r>
      <w:r>
        <w:t>要</w:t>
      </w:r>
      <w:r>
        <w:rPr>
          <w:rFonts w:hint="eastAsia"/>
        </w:rPr>
        <w:t>的</w:t>
      </w:r>
      <w:r>
        <w:t>。</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9" w:name="_Toc13861"/>
      <w:r>
        <w:rPr>
          <w:rFonts w:hint="eastAsia"/>
          <w:lang w:val="en-US" w:eastAsia="zh-CN"/>
        </w:rPr>
        <w:t>安全性级别分析</w:t>
      </w:r>
      <w:bookmarkEnd w:id="9"/>
    </w:p>
    <w:p>
      <w:pPr>
        <w:ind w:firstLine="420" w:firstLineChars="0"/>
        <w:rPr>
          <w:rFonts w:hint="eastAsia"/>
          <w:sz w:val="24"/>
          <w:szCs w:val="24"/>
          <w:lang w:val="en-US" w:eastAsia="zh-CN"/>
        </w:rPr>
      </w:pPr>
      <w:r>
        <w:rPr>
          <w:rFonts w:hint="eastAsia"/>
          <w:lang w:val="en-US" w:eastAsia="zh-CN"/>
        </w:rPr>
        <w:t>我们根据以上安全性级别确定方法生成关注程度分析表，分析表如下：</w:t>
      </w:r>
    </w:p>
    <w:p>
      <w:pPr>
        <w:jc w:val="center"/>
        <w:rPr>
          <w:rFonts w:hint="eastAsia"/>
          <w:sz w:val="24"/>
          <w:szCs w:val="24"/>
          <w:lang w:val="en-US" w:eastAsia="zh-CN"/>
        </w:rPr>
      </w:pPr>
      <w:r>
        <w:rPr>
          <w:rFonts w:hint="eastAsia"/>
          <w:sz w:val="24"/>
          <w:szCs w:val="24"/>
          <w:lang w:val="en-US" w:eastAsia="zh-CN"/>
        </w:rPr>
        <w:t>表1 重要关注程度</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pStyle w:val="47"/>
              <w:rPr>
                <w:rFonts w:hint="eastAsia"/>
              </w:rPr>
            </w:pPr>
          </w:p>
        </w:tc>
      </w:tr>
    </w:tbl>
    <w:p>
      <w:pPr>
        <w:jc w:val="both"/>
        <w:rPr>
          <w:rFonts w:hint="eastAsia"/>
        </w:rPr>
      </w:pPr>
    </w:p>
    <w:p>
      <w:pPr>
        <w:jc w:val="center"/>
        <w:rPr>
          <w:rFonts w:hint="default"/>
          <w:sz w:val="24"/>
          <w:szCs w:val="24"/>
          <w:lang w:val="en-US" w:eastAsia="zh-CN"/>
        </w:rPr>
      </w:pPr>
      <w:r>
        <w:rPr>
          <w:rFonts w:hint="eastAsia"/>
          <w:sz w:val="24"/>
          <w:szCs w:val="24"/>
          <w:lang w:val="en-US" w:eastAsia="zh-CN"/>
        </w:rPr>
        <w:t>表2 中等关注程度</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pStyle w:val="47"/>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rPr>
                <w:rFonts w:hint="eastAsia"/>
              </w:rPr>
            </w:pPr>
          </w:p>
        </w:tc>
      </w:tr>
    </w:tbl>
    <w:p>
      <w:pPr>
        <w:jc w:val="both"/>
        <w:rPr>
          <w:rFonts w:hint="eastAsia"/>
        </w:rPr>
      </w:pPr>
    </w:p>
    <w:p>
      <w:pPr>
        <w:jc w:val="center"/>
        <w:rPr>
          <w:rFonts w:hint="eastAsia" w:eastAsia="宋体" w:asciiTheme="minorAscii" w:hAnsiTheme="minorAscii" w:cstheme="minorBidi"/>
          <w:kern w:val="2"/>
          <w:sz w:val="21"/>
          <w:szCs w:val="24"/>
          <w:lang w:val="en-US" w:eastAsia="zh-CN" w:bidi="ar-SA"/>
        </w:rPr>
      </w:pPr>
      <w:r>
        <w:rPr>
          <w:rFonts w:hint="eastAsia" w:eastAsia="宋体" w:asciiTheme="minorAscii" w:hAnsiTheme="minorAscii" w:cstheme="minorBidi"/>
          <w:kern w:val="2"/>
          <w:sz w:val="21"/>
          <w:szCs w:val="24"/>
          <w:lang w:val="en-US" w:eastAsia="zh-CN" w:bidi="ar-SA"/>
        </w:rPr>
        <w:t>表3 次要关注程度</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5" w:type="dxa"/>
          </w:tcPr>
          <w:p>
            <w:pPr>
              <w:jc w:val="both"/>
              <w:rPr>
                <w:rFonts w:hint="default" w:eastAsia="宋体" w:asciiTheme="minorAscii" w:hAnsiTheme="minorAscii" w:cstheme="minorBidi"/>
                <w:kern w:val="2"/>
                <w:sz w:val="21"/>
                <w:szCs w:val="24"/>
                <w:lang w:val="en-US" w:eastAsia="zh-CN" w:bidi="ar-SA"/>
              </w:rPr>
            </w:pPr>
            <w:r>
              <w:rPr>
                <w:rFonts w:eastAsia="宋体" w:asciiTheme="minorAscii" w:hAnsiTheme="minorAscii" w:cstheme="minorBidi"/>
                <w:kern w:val="2"/>
                <w:sz w:val="21"/>
                <w:szCs w:val="24"/>
                <w:lang w:val="en-US" w:eastAsia="zh-CN" w:bidi="ar-SA"/>
              </w:rPr>
              <w:t>如果上面表1和表2中所有问题的答案都是否定的，那么关注的程度就</w:t>
            </w:r>
            <w:r>
              <w:rPr>
                <w:rFonts w:hint="eastAsia" w:eastAsia="宋体" w:asciiTheme="minorAscii" w:hAnsiTheme="minorAscii" w:cstheme="minorBidi"/>
                <w:kern w:val="2"/>
                <w:sz w:val="21"/>
                <w:szCs w:val="24"/>
                <w:lang w:val="en-US" w:eastAsia="zh-CN" w:bidi="ar-SA"/>
              </w:rPr>
              <w:t>是次</w:t>
            </w:r>
            <w:r>
              <w:rPr>
                <w:rFonts w:eastAsia="宋体" w:asciiTheme="minorAscii" w:hAnsiTheme="minorAscii" w:cstheme="minorBidi"/>
                <w:kern w:val="2"/>
                <w:sz w:val="21"/>
                <w:szCs w:val="24"/>
                <w:lang w:val="en-US" w:eastAsia="zh-CN" w:bidi="ar-SA"/>
              </w:rPr>
              <w:t>要</w:t>
            </w:r>
            <w:r>
              <w:rPr>
                <w:rFonts w:hint="eastAsia" w:eastAsia="宋体" w:asciiTheme="minorAscii" w:hAnsiTheme="minorAscii" w:cstheme="minorBidi"/>
                <w:kern w:val="2"/>
                <w:sz w:val="21"/>
                <w:szCs w:val="24"/>
                <w:lang w:val="en-US" w:eastAsia="zh-CN" w:bidi="ar-SA"/>
              </w:rPr>
              <w:t>的</w:t>
            </w:r>
            <w:r>
              <w:rPr>
                <w:rFonts w:eastAsia="宋体" w:asciiTheme="minorAscii" w:hAnsiTheme="minorAscii" w:cstheme="minorBidi"/>
                <w:kern w:val="2"/>
                <w:sz w:val="21"/>
                <w:szCs w:val="24"/>
                <w:lang w:val="en-US" w:eastAsia="zh-CN" w:bidi="ar-SA"/>
              </w:rPr>
              <w:t>。</w:t>
            </w:r>
          </w:p>
        </w:tc>
        <w:tc>
          <w:tcPr>
            <w:tcW w:w="1447" w:type="dxa"/>
          </w:tcPr>
          <w:p>
            <w:pPr>
              <w:jc w:val="both"/>
              <w:rPr>
                <w:rFonts w:hint="default" w:eastAsia="宋体" w:asciiTheme="minorAscii" w:hAnsiTheme="minorAscii" w:cstheme="minorBidi"/>
                <w:kern w:val="2"/>
                <w:sz w:val="21"/>
                <w:szCs w:val="24"/>
                <w:lang w:val="en-US" w:eastAsia="zh-CN" w:bidi="ar-SA"/>
              </w:rPr>
            </w:pPr>
          </w:p>
        </w:tc>
      </w:tr>
    </w:tbl>
    <w:p>
      <w:pPr>
        <w:bidi w:val="0"/>
        <w:ind w:firstLine="420" w:firstLineChars="0"/>
        <w:rPr>
          <w:rFonts w:hint="default"/>
          <w:lang w:eastAsia="zh-CN"/>
        </w:rPr>
      </w:pPr>
      <w:r>
        <w:rPr>
          <w:rFonts w:hint="eastAsia"/>
          <w:lang w:eastAsia="zh-CN"/>
        </w:rPr>
        <w:t>由以上分析表我们分别对</w:t>
      </w:r>
      <w:r>
        <w:rPr>
          <w:rFonts w:hint="eastAsia"/>
          <w:lang w:val="en-US" w:eastAsia="zh-CN"/>
        </w:rPr>
        <w:t>骨科手术规划与控制</w:t>
      </w:r>
      <w:r>
        <w:rPr>
          <w:rFonts w:hint="eastAsia"/>
          <w:lang w:eastAsia="zh-CN"/>
        </w:rPr>
        <w:t>软件各个功能</w:t>
      </w:r>
      <w:r>
        <w:rPr>
          <w:rFonts w:hint="eastAsia"/>
          <w:lang w:val="en-US" w:eastAsia="zh-CN"/>
        </w:rPr>
        <w:t>模块</w:t>
      </w:r>
      <w:r>
        <w:rPr>
          <w:rFonts w:hint="eastAsia"/>
          <w:lang w:eastAsia="zh-CN"/>
        </w:rPr>
        <w:t>进行关注程度分析，从而得出软件的安全性级别，具体分析记录见附件一。</w:t>
      </w:r>
    </w:p>
    <w:p>
      <w:pPr>
        <w:rPr>
          <w:rFonts w:hint="default"/>
          <w:lang w:val="en-US" w:eastAsia="zh-CN"/>
        </w:rPr>
      </w:pP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10" w:name="_Toc26562"/>
      <w:r>
        <w:rPr>
          <w:rFonts w:hint="eastAsia"/>
          <w:lang w:val="en-US" w:eastAsia="zh-CN"/>
        </w:rPr>
        <w:t>安全性级别确定</w:t>
      </w:r>
      <w:bookmarkEnd w:id="10"/>
    </w:p>
    <w:p>
      <w:pPr>
        <w:ind w:firstLine="420" w:firstLineChars="0"/>
        <w:rPr>
          <w:rFonts w:hint="eastAsia"/>
          <w:lang w:val="en-US" w:eastAsia="zh-CN"/>
        </w:rPr>
      </w:pPr>
      <w:r>
        <w:rPr>
          <w:rFonts w:hint="eastAsia"/>
          <w:lang w:val="en-US" w:eastAsia="zh-CN"/>
        </w:rPr>
        <w:t>从附件一分析表可以得出结论，骨科手术规划与控制</w:t>
      </w:r>
      <w:r>
        <w:rPr>
          <w:rFonts w:hint="eastAsia"/>
          <w:lang w:eastAsia="zh-CN"/>
        </w:rPr>
        <w:t>软件</w:t>
      </w:r>
      <w:r>
        <w:rPr>
          <w:rFonts w:hint="eastAsia"/>
          <w:lang w:val="en-US" w:eastAsia="zh-CN"/>
        </w:rPr>
        <w:t>的关注程度为“中等”。因此，我们将骨科手术规划与控制软件安全性级别确定为“B”级。</w:t>
      </w:r>
    </w:p>
    <w:p>
      <w:pPr>
        <w:pStyle w:val="3"/>
        <w:numPr>
          <w:ilvl w:val="0"/>
          <w:numId w:val="0"/>
        </w:numPr>
        <w:bidi w:val="0"/>
        <w:ind w:leftChars="0"/>
        <w:rPr>
          <w:rFonts w:hint="eastAsia"/>
          <w:lang w:val="en-US" w:eastAsia="zh-CN"/>
        </w:rPr>
      </w:pPr>
      <w:bookmarkStart w:id="11" w:name="_Toc6983"/>
      <w:bookmarkStart w:id="12" w:name="_Toc6944"/>
      <w:r>
        <w:rPr>
          <w:rFonts w:hint="eastAsia"/>
          <w:lang w:val="en-US" w:eastAsia="zh-CN"/>
        </w:rPr>
        <w:t>附件一</w:t>
      </w:r>
      <w:bookmarkEnd w:id="11"/>
      <w:bookmarkEnd w:id="12"/>
    </w:p>
    <w:p>
      <w:pPr>
        <w:jc w:val="both"/>
        <w:rPr>
          <w:rFonts w:hint="eastAsia"/>
          <w:lang w:val="en-US" w:eastAsia="zh-CN"/>
        </w:rPr>
      </w:pPr>
      <w:r>
        <w:rPr>
          <w:rFonts w:hint="eastAsia"/>
          <w:b/>
          <w:bCs/>
          <w:sz w:val="24"/>
          <w:szCs w:val="24"/>
          <w:lang w:val="en-US" w:eastAsia="zh-CN"/>
        </w:rPr>
        <w:t>启动模块：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jc w:val="both"/>
        <w:rPr>
          <w:rFonts w:hint="eastAsia"/>
          <w:lang w:val="en-US" w:eastAsia="zh-CN"/>
        </w:rPr>
      </w:pPr>
      <w:r>
        <w:rPr>
          <w:rFonts w:hint="eastAsia"/>
          <w:b/>
          <w:bCs/>
          <w:sz w:val="24"/>
          <w:szCs w:val="24"/>
          <w:lang w:val="en-US" w:eastAsia="zh-CN"/>
        </w:rPr>
        <w:br w:type="page"/>
      </w:r>
      <w:r>
        <w:rPr>
          <w:rFonts w:hint="eastAsia"/>
          <w:b/>
          <w:bCs/>
          <w:sz w:val="24"/>
          <w:szCs w:val="24"/>
          <w:lang w:val="en-US" w:eastAsia="zh-CN"/>
        </w:rPr>
        <w:t>登录模块：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pStyle w:val="2"/>
        <w:rPr>
          <w:rFonts w:hint="default"/>
          <w:lang w:val="en-US" w:eastAsia="zh-CN"/>
        </w:rPr>
      </w:pPr>
    </w:p>
    <w:p>
      <w:pPr>
        <w:jc w:val="both"/>
        <w:rPr>
          <w:rFonts w:hint="eastAsia"/>
          <w:lang w:val="en-US" w:eastAsia="zh-CN"/>
        </w:rPr>
      </w:pPr>
      <w:r>
        <w:rPr>
          <w:rFonts w:hint="eastAsia"/>
          <w:b/>
          <w:bCs/>
          <w:sz w:val="24"/>
          <w:szCs w:val="24"/>
          <w:lang w:val="en-US" w:eastAsia="zh-CN"/>
        </w:rPr>
        <w:t>患者管理模块：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方案与流程管理模块：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CT导入模块：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四视图模块：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CT处理模块：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CT分椎模块：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规划模块：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术前准备模块：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X光注册模块：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X光分椎模块：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图像配准模块：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定位导航模块：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反馈验证模块：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配置管理模块：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设备自检模块：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日志管理模块：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双目相机模块：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机械臂模块：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C臂机模块：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是</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asciiTheme="minorAscii" w:hAnsiTheme="minorAscii" w:cstheme="minorBidi"/>
                <w:kern w:val="2"/>
                <w:sz w:val="21"/>
                <w:szCs w:val="24"/>
                <w:lang w:val="en-US" w:eastAsia="zh-CN" w:bidi="ar-SA"/>
              </w:rPr>
              <w:t>否</w:t>
            </w:r>
          </w:p>
        </w:tc>
      </w:tr>
    </w:tbl>
    <w:p>
      <w:pPr>
        <w:rPr>
          <w:rFonts w:hint="default"/>
          <w:lang w:val="en-US" w:eastAsia="zh-CN"/>
        </w:rPr>
      </w:pPr>
      <w:r>
        <w:rPr>
          <w:rFonts w:hint="default"/>
          <w:lang w:val="en-US" w:eastAsia="zh-CN"/>
        </w:rPr>
        <w:br w:type="page"/>
      </w:r>
    </w:p>
    <w:p>
      <w:pPr>
        <w:jc w:val="both"/>
        <w:rPr>
          <w:rFonts w:hint="eastAsia"/>
          <w:lang w:val="en-US" w:eastAsia="zh-CN"/>
        </w:rPr>
      </w:pPr>
      <w:r>
        <w:rPr>
          <w:rFonts w:hint="eastAsia"/>
          <w:b/>
          <w:bCs/>
          <w:sz w:val="24"/>
          <w:szCs w:val="24"/>
          <w:lang w:val="en-US" w:eastAsia="zh-CN"/>
        </w:rPr>
        <w:t>系统功能模块：</w:t>
      </w:r>
    </w:p>
    <w:p>
      <w:pPr>
        <w:jc w:val="center"/>
        <w:rPr>
          <w:rFonts w:hint="eastAsia"/>
          <w:sz w:val="24"/>
          <w:szCs w:val="24"/>
          <w:lang w:val="en-US" w:eastAsia="zh-CN"/>
        </w:rPr>
      </w:pPr>
      <w:r>
        <w:rPr>
          <w:rFonts w:hint="eastAsia"/>
          <w:sz w:val="24"/>
          <w:szCs w:val="24"/>
          <w:lang w:val="en-US" w:eastAsia="zh-CN"/>
        </w:rPr>
        <w:t>重要关注程度表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6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8117" w:type="dxa"/>
            <w:gridSpan w:val="2"/>
            <w:noWrap w:val="0"/>
            <w:vAlign w:val="top"/>
          </w:tcPr>
          <w:p>
            <w:pPr>
              <w:pStyle w:val="47"/>
            </w:pPr>
            <w:r>
              <w:t>如果下面任何一个问题的答案是肯定的，那么对软件设备的关注程度</w:t>
            </w:r>
            <w:r>
              <w:rPr>
                <w:rFonts w:hint="eastAsia"/>
              </w:rPr>
              <w:t>就</w:t>
            </w:r>
            <w:r>
              <w:t>是</w:t>
            </w:r>
            <w:r>
              <w:rPr>
                <w:rFonts w:hint="eastAsia"/>
              </w:rPr>
              <w:t>重</w:t>
            </w:r>
            <w:r>
              <w:t>要的。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1.</w:t>
            </w:r>
            <w:r>
              <w:t xml:space="preserve"> 该软件</w:t>
            </w:r>
            <w:r>
              <w:rPr>
                <w:rFonts w:hint="eastAsia"/>
              </w:rPr>
              <w:t>设备</w:t>
            </w:r>
            <w:r>
              <w:t>是否符合血站计算机软件的资格</w:t>
            </w:r>
            <w:r>
              <w:rPr>
                <w:rFonts w:hint="eastAsia"/>
              </w:rPr>
              <w:t>？</w:t>
            </w:r>
          </w:p>
        </w:tc>
        <w:tc>
          <w:tcPr>
            <w:tcW w:w="1450" w:type="dxa"/>
            <w:noWrap w:val="0"/>
            <w:vAlign w:val="top"/>
          </w:tcPr>
          <w:p>
            <w:pPr>
              <w:pStyle w:val="47"/>
              <w:jc w:val="center"/>
              <w:rPr>
                <w:rFonts w:hint="eastAsia" w:eastAsia="宋体"/>
                <w:lang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2.</w:t>
            </w:r>
            <w:r>
              <w:t xml:space="preserve"> 该软件设备是否打算与药物或生物制剂结合使用?</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3.</w:t>
            </w:r>
            <w:r>
              <w:t xml:space="preserve"> </w:t>
            </w:r>
            <w:r>
              <w:rPr>
                <w:rFonts w:hint="eastAsia"/>
              </w:rPr>
              <w:t>该</w:t>
            </w:r>
            <w:r>
              <w:t>软件设备是</w:t>
            </w:r>
            <w:r>
              <w:rPr>
                <w:rFonts w:hint="eastAsia"/>
              </w:rPr>
              <w:t>具有重要关注程度的</w:t>
            </w:r>
            <w:r>
              <w:t>医疗设备的附件吗</w:t>
            </w:r>
            <w:r>
              <w:rPr>
                <w:rFonts w:hint="eastAsia"/>
              </w:rPr>
              <w:t>？</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rPr>
                <w:rFonts w:hint="eastAsia"/>
              </w:rPr>
              <w:t>4.</w:t>
            </w:r>
            <w:r>
              <w:t xml:space="preserve"> 在减轻危害之前，软件设备的故障会导致患者或设备用户的死亡或严重伤害吗?这方面的例子包括: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a.</w:t>
            </w:r>
            <w:r>
              <w:t xml:space="preserve"> 软件设备是否</w:t>
            </w:r>
            <w:r>
              <w:rPr>
                <w:rFonts w:hint="eastAsia"/>
              </w:rPr>
              <w:t>有</w:t>
            </w:r>
            <w:r>
              <w:t>生命</w:t>
            </w:r>
            <w:r>
              <w:rPr>
                <w:rFonts w:hint="eastAsia"/>
              </w:rPr>
              <w:t>支持</w:t>
            </w:r>
            <w:r>
              <w:t>或</w:t>
            </w:r>
            <w:r>
              <w:rPr>
                <w:rFonts w:hint="eastAsia"/>
              </w:rPr>
              <w:t>生命</w:t>
            </w:r>
            <w:r>
              <w:t>维持功能?</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b.</w:t>
            </w:r>
            <w:r>
              <w:t xml:space="preserve"> 该软件设备是否控制可能导致死亡或严重伤害的潜在有害能量的传递，如辐射治疗系统、除颤器和消融发生器?</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c.</w:t>
            </w:r>
            <w:r>
              <w:t xml:space="preserve"> 软件设备是否控制治疗或治疗的交付，使错误或故障可能导致死亡或严重伤害?</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d.</w:t>
            </w:r>
            <w:r>
              <w:t xml:space="preserve"> 该软件设备是否提供直接驱动治疗或治疗决策的诊断信息，</w:t>
            </w:r>
            <w:r>
              <w:rPr>
                <w:rFonts w:hint="eastAsia"/>
              </w:rPr>
              <w:t>如</w:t>
            </w:r>
            <w:r>
              <w:t>果使用不当可能导致严重伤害或死亡?</w:t>
            </w:r>
            <w:r>
              <w:rPr>
                <w:rFonts w:hint="eastAsia"/>
              </w:rPr>
              <w:t xml:space="preserve"> </w:t>
            </w:r>
          </w:p>
        </w:tc>
        <w:tc>
          <w:tcPr>
            <w:tcW w:w="1450" w:type="dxa"/>
            <w:noWrap w:val="0"/>
            <w:vAlign w:val="top"/>
          </w:tcPr>
          <w:p>
            <w:pPr>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67" w:type="dxa"/>
            <w:noWrap w:val="0"/>
            <w:vAlign w:val="top"/>
          </w:tcPr>
          <w:p>
            <w:pPr>
              <w:pStyle w:val="47"/>
              <w:rPr>
                <w:rFonts w:hint="eastAsia"/>
              </w:rPr>
            </w:pPr>
            <w:r>
              <w:rPr>
                <w:rFonts w:hint="eastAsia"/>
              </w:rPr>
              <w:t>e.</w:t>
            </w:r>
            <w:r>
              <w:t xml:space="preserve"> 该软件设备是否为需要医疗干预的潜在生命威胁情况提供生命体征监测和警报?</w:t>
            </w:r>
          </w:p>
        </w:tc>
        <w:tc>
          <w:tcPr>
            <w:tcW w:w="1450" w:type="dxa"/>
            <w:noWrap w:val="0"/>
            <w:vAlign w:val="top"/>
          </w:tcPr>
          <w:p>
            <w:pPr>
              <w:jc w:val="center"/>
              <w:rPr>
                <w:rFonts w:hint="eastAsia"/>
              </w:rPr>
            </w:pPr>
            <w:r>
              <w:rPr>
                <w:rFonts w:hint="eastAsia"/>
                <w:lang w:val="en-US" w:eastAsia="zh-CN"/>
              </w:rPr>
              <w:t>否</w:t>
            </w:r>
          </w:p>
        </w:tc>
      </w:tr>
    </w:tbl>
    <w:p>
      <w:pPr>
        <w:jc w:val="center"/>
        <w:rPr>
          <w:rFonts w:hint="eastAsia"/>
        </w:rPr>
      </w:pPr>
    </w:p>
    <w:p>
      <w:pPr>
        <w:jc w:val="center"/>
        <w:rPr>
          <w:rFonts w:hint="default"/>
          <w:sz w:val="24"/>
          <w:szCs w:val="24"/>
          <w:lang w:val="en-US" w:eastAsia="zh-CN"/>
        </w:rPr>
      </w:pPr>
      <w:r>
        <w:rPr>
          <w:rFonts w:hint="eastAsia"/>
          <w:sz w:val="24"/>
          <w:szCs w:val="24"/>
          <w:lang w:val="en-US" w:eastAsia="zh-CN"/>
        </w:rPr>
        <w:t>中等关注程度表</w:t>
      </w:r>
    </w:p>
    <w:tbl>
      <w:tblPr>
        <w:tblStyle w:val="30"/>
        <w:tblW w:w="8117" w:type="dxa"/>
        <w:tblInd w:w="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0"/>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17" w:type="dxa"/>
            <w:gridSpan w:val="2"/>
            <w:noWrap w:val="0"/>
            <w:vAlign w:val="top"/>
          </w:tcPr>
          <w:p>
            <w:pPr>
              <w:pStyle w:val="47"/>
              <w:rPr>
                <w:rFonts w:hint="eastAsia"/>
              </w:rPr>
            </w:pPr>
            <w:r>
              <w:t>如果软件设备不是</w:t>
            </w:r>
            <w:r>
              <w:rPr>
                <w:rFonts w:hint="eastAsia"/>
              </w:rPr>
              <w:t>重</w:t>
            </w:r>
            <w:r>
              <w:t>要关注</w:t>
            </w:r>
            <w:r>
              <w:rPr>
                <w:rFonts w:hint="eastAsia"/>
              </w:rPr>
              <w:t>程度</w:t>
            </w:r>
            <w:r>
              <w:t>，并且下面任何一个问题的答案是</w:t>
            </w:r>
            <w:r>
              <w:rPr>
                <w:rFonts w:hint="eastAsia"/>
              </w:rPr>
              <w:t>是</w:t>
            </w:r>
            <w:r>
              <w:t>，那么关注</w:t>
            </w:r>
            <w:r>
              <w:rPr>
                <w:rFonts w:hint="eastAsia"/>
              </w:rPr>
              <w:t>程度</w:t>
            </w:r>
            <w:r>
              <w:t>是中等的。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1. 该</w:t>
            </w:r>
            <w:r>
              <w:t>软件设备是</w:t>
            </w:r>
            <w:r>
              <w:rPr>
                <w:rFonts w:hint="eastAsia"/>
              </w:rPr>
              <w:t>具有中等关注程度的</w:t>
            </w:r>
            <w:r>
              <w:t>医疗设备的附件吗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670" w:type="dxa"/>
            <w:noWrap w:val="0"/>
            <w:vAlign w:val="top"/>
          </w:tcPr>
          <w:p>
            <w:pPr>
              <w:pStyle w:val="47"/>
              <w:rPr>
                <w:rFonts w:hint="eastAsia"/>
              </w:rPr>
            </w:pPr>
            <w:r>
              <w:rPr>
                <w:rFonts w:hint="eastAsia"/>
              </w:rPr>
              <w:t>2.</w:t>
            </w:r>
            <w:r>
              <w:t xml:space="preserve"> 在减轻危害之前，软件设备的故障会对患者或该设备的用户造成轻微伤害吗?</w:t>
            </w:r>
            <w:r>
              <w:rPr>
                <w:rFonts w:hint="eastAsia"/>
              </w:rPr>
              <w:t xml:space="preserve"> </w:t>
            </w:r>
          </w:p>
        </w:tc>
        <w:tc>
          <w:tcPr>
            <w:tcW w:w="1447" w:type="dxa"/>
            <w:noWrap w:val="0"/>
            <w:vAlign w:val="top"/>
          </w:tcPr>
          <w:p>
            <w:pPr>
              <w:ind w:firstLine="0" w:firstLineChars="0"/>
              <w:jc w:val="center"/>
              <w:rPr>
                <w:rFonts w:hint="eastAsia"/>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70" w:type="dxa"/>
            <w:noWrap w:val="0"/>
            <w:vAlign w:val="top"/>
          </w:tcPr>
          <w:p>
            <w:pPr>
              <w:pStyle w:val="47"/>
              <w:rPr>
                <w:rFonts w:hint="eastAsia"/>
              </w:rPr>
            </w:pPr>
            <w:r>
              <w:rPr>
                <w:rFonts w:hint="eastAsia"/>
              </w:rPr>
              <w:t>3.</w:t>
            </w:r>
            <w:r>
              <w:t xml:space="preserve"> 软件设备的故障或潜在的设计缺陷是否会导致错误的诊断或延迟提供适当的医疗服务，从而可能导致轻伤?</w:t>
            </w:r>
            <w:r>
              <w:rPr>
                <w:rFonts w:hint="eastAsia"/>
              </w:rPr>
              <w:t xml:space="preserve"> </w:t>
            </w:r>
          </w:p>
        </w:tc>
        <w:tc>
          <w:tcPr>
            <w:tcW w:w="1447" w:type="dxa"/>
            <w:noWrap w:val="0"/>
            <w:vAlign w:val="top"/>
          </w:tcPr>
          <w:p>
            <w:pPr>
              <w:pStyle w:val="47"/>
              <w:jc w:val="center"/>
              <w:rPr>
                <w:rFonts w:hint="eastAsia" w:eastAsia="宋体"/>
                <w:lang w:eastAsia="zh-CN"/>
              </w:rPr>
            </w:pPr>
            <w:r>
              <w:rPr>
                <w:rFonts w:hint="eastAsia"/>
                <w:lang w:val="en-US" w:eastAsia="zh-CN"/>
              </w:rPr>
              <w:t>否</w:t>
            </w:r>
          </w:p>
        </w:tc>
      </w:tr>
    </w:tbl>
    <w:p>
      <w:pPr>
        <w:jc w:val="both"/>
        <w:rPr>
          <w:rFonts w:hint="eastAsia"/>
        </w:rPr>
      </w:pPr>
    </w:p>
    <w:p>
      <w:pPr>
        <w:jc w:val="center"/>
        <w:rPr>
          <w:rFonts w:hint="eastAsia"/>
          <w:sz w:val="24"/>
          <w:szCs w:val="24"/>
          <w:lang w:val="en-US" w:eastAsia="zh-CN"/>
        </w:rPr>
      </w:pPr>
      <w:r>
        <w:rPr>
          <w:rFonts w:hint="eastAsia"/>
          <w:sz w:val="24"/>
          <w:szCs w:val="24"/>
          <w:lang w:val="en-US" w:eastAsia="zh-CN"/>
        </w:rPr>
        <w:t>次要关注程度表</w:t>
      </w:r>
    </w:p>
    <w:tbl>
      <w:tblPr>
        <w:tblStyle w:val="31"/>
        <w:tblW w:w="0" w:type="auto"/>
        <w:tblInd w:w="4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75"/>
        <w:gridCol w:w="1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7" w:hRule="atLeast"/>
        </w:trPr>
        <w:tc>
          <w:tcPr>
            <w:tcW w:w="6675" w:type="dxa"/>
          </w:tcPr>
          <w:p>
            <w:pPr>
              <w:jc w:val="both"/>
              <w:rPr>
                <w:rFonts w:hint="default" w:eastAsia="宋体" w:asciiTheme="minorAscii" w:hAnsiTheme="minorAscii" w:cstheme="minorBidi"/>
                <w:kern w:val="2"/>
                <w:sz w:val="21"/>
                <w:szCs w:val="24"/>
                <w:lang w:val="en-US" w:eastAsia="zh-CN" w:bidi="ar-SA"/>
              </w:rPr>
            </w:pPr>
            <w:r>
              <w:rPr>
                <w:rFonts w:hint="eastAsia" w:ascii="宋体" w:hAnsi="宋体" w:eastAsia="宋体" w:cs="宋体"/>
                <w:kern w:val="2"/>
                <w:sz w:val="21"/>
                <w:szCs w:val="24"/>
                <w:lang w:val="en-US" w:eastAsia="zh-CN" w:bidi="ar-SA"/>
              </w:rPr>
              <w:t>如果上面表1和表2中所有问题的答案都是否定的，那么关注的程度就是次要的。</w:t>
            </w:r>
          </w:p>
        </w:tc>
        <w:tc>
          <w:tcPr>
            <w:tcW w:w="1447" w:type="dxa"/>
          </w:tcPr>
          <w:p>
            <w:pPr>
              <w:jc w:val="center"/>
              <w:rPr>
                <w:rFonts w:hint="default" w:eastAsia="宋体" w:asciiTheme="minorAscii" w:hAnsiTheme="minorAscii" w:cstheme="minorBidi"/>
                <w:kern w:val="2"/>
                <w:sz w:val="21"/>
                <w:szCs w:val="24"/>
                <w:lang w:val="en-US" w:eastAsia="zh-CN" w:bidi="ar-SA"/>
              </w:rPr>
            </w:pPr>
            <w:r>
              <w:rPr>
                <w:rFonts w:hint="eastAsia"/>
                <w:lang w:val="en-US" w:eastAsia="zh-CN"/>
              </w:rPr>
              <w:t>是</w:t>
            </w:r>
          </w:p>
        </w:tc>
      </w:tr>
    </w:tbl>
    <w:p>
      <w:pPr>
        <w:pStyle w:val="2"/>
        <w:ind w:left="0" w:leftChars="0" w:firstLine="0" w:firstLineChars="0"/>
        <w:rPr>
          <w:rFonts w:hint="default"/>
          <w:lang w:val="en-US" w:eastAsia="zh-CN"/>
        </w:rPr>
      </w:pPr>
    </w:p>
    <w:sectPr>
      <w:footerReference r:id="rId1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_x0000_s3074" o:spid="_x0000_s3074"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w:pict>
        <v:shape id="_x0000_s3081" o:spid="_x0000_s3081" o:spt="202" type="#_x0000_t202" style="position:absolute;left:0pt;margin-top:0pt;height:144pt;width:144pt;mso-position-horizontal:center;mso-position-horizontal-relative:margin;mso-wrap-style:none;z-index:251667456;mso-width-relative:page;mso-height-relative:page;" filled="f" stroked="f" coordsize="21600,21600">
          <v:path/>
          <v:fill on="f" focussize="0,0"/>
          <v:stroke on="f" joinstyle="miter"/>
          <v:imagedata o:title=""/>
          <o:lock v:ext="edit"/>
          <v:textbox inset="0mm,0mm,0mm,0mm" style="mso-fit-shape-to-text:t;">
            <w:txbxContent>
              <w:p>
                <w:pPr>
                  <w:pStyle w:val="21"/>
                </w:pPr>
                <w:r>
                  <w:fldChar w:fldCharType="begin"/>
                </w:r>
                <w:r>
                  <w:instrText xml:space="preserve"> PAGE  \* MERGEFORMAT </w:instrText>
                </w:r>
                <w:r>
                  <w:fldChar w:fldCharType="separate"/>
                </w:r>
                <w:r>
                  <w:t>8</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jc w:val="both"/>
    </w:pPr>
    <w:r>
      <w:pict>
        <v:shape id="PowerPlusWaterMarkObject16865700" o:spid="_x0000_s3075" o:spt="136" type="#_x0000_t136" style="position:absolute;left:0pt;height:213.25pt;width:374pt;mso-position-horizontal:center;mso-position-horizontal-relative:margin;mso-position-vertical:center;mso-position-vertical-relative:margin;rotation:20643840f;z-index:-251646976;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3076"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3073" o:spt="136" type="#_x0000_t136" style="position:absolute;left:0pt;height:195.15pt;width:390.3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before="120" w:after="120"/>
      <w:jc w:val="center"/>
      <w:rPr>
        <w:rFonts w:ascii="宋体" w:hAnsi="宋体" w:cs="宋体"/>
        <w:sz w:val="18"/>
        <w:szCs w:val="18"/>
      </w:rPr>
    </w:pPr>
    <w:r>
      <w:rPr>
        <w:rFonts w:hint="eastAsia" w:ascii="宋体" w:hAnsi="宋体" w:cs="宋体"/>
        <w:sz w:val="18"/>
        <w:szCs w:val="18"/>
      </w:rPr>
      <w:t>MS-002.30W0</w:t>
    </w:r>
    <w:r>
      <w:rPr>
        <w:rFonts w:ascii="宋体" w:hAnsi="宋体" w:cs="宋体"/>
        <w:sz w:val="18"/>
        <w:szCs w:val="18"/>
      </w:rPr>
      <w:pict>
        <v:shape id="_x0000_s3078" o:spid="_x0000_s3078" o:spt="136" type="#_x0000_t136" style="position:absolute;left:0pt;height:213.25pt;width:374pt;mso-position-horizontal:center;mso-position-horizontal-relative:margin;mso-position-vertical:center;mso-position-vertical-relative:margin;rotation:20643840f;z-index:-251648000;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r>
      <w:rPr>
        <w:rFonts w:ascii="宋体" w:hAnsi="宋体" w:cs="宋体"/>
        <w:sz w:val="18"/>
        <w:szCs w:val="18"/>
      </w:rPr>
      <w:pict>
        <v:shape id="_x0000_s3079" o:spid="_x0000_s3079" o:spt="136" type="#_x0000_t136" style="position:absolute;left:0pt;height:213.25pt;width:374pt;mso-position-horizontal:center;mso-position-horizontal-relative:margin;mso-position-vertical:center;mso-position-vertical-relative:margin;rotation:20643840f;z-index:-251645952;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r>
      <w:rPr>
        <w:rFonts w:hint="eastAsia" w:ascii="宋体" w:hAnsi="宋体" w:cs="宋体"/>
        <w:sz w:val="18"/>
        <w:szCs w:val="18"/>
        <w:lang w:val="en-US" w:eastAsia="zh-CN"/>
      </w:rPr>
      <w:t>12</w:t>
    </w:r>
    <w:r>
      <w:rPr>
        <w:rFonts w:hint="eastAsia" w:ascii="宋体" w:hAnsi="宋体" w:cs="宋体"/>
        <w:sz w:val="18"/>
        <w:szCs w:val="18"/>
      </w:rPr>
      <w:tab/>
    </w:r>
    <w:r>
      <w:rPr>
        <w:rFonts w:hint="eastAsia" w:ascii="宋体" w:hAnsi="宋体" w:cs="宋体"/>
        <w:sz w:val="18"/>
        <w:szCs w:val="18"/>
      </w:rPr>
      <w:t xml:space="preserve">   </w:t>
    </w:r>
    <w:r>
      <w:rPr>
        <w:rFonts w:hint="eastAsia" w:ascii="宋体" w:hAnsi="宋体" w:cs="宋体"/>
        <w:sz w:val="18"/>
        <w:szCs w:val="18"/>
        <w:lang w:val="en-US" w:eastAsia="zh-CN"/>
      </w:rPr>
      <w:t>骨科手术规划与控制</w:t>
    </w:r>
    <w:r>
      <w:rPr>
        <w:rFonts w:hint="eastAsia" w:ascii="宋体" w:hAnsi="宋体" w:cs="宋体"/>
        <w:sz w:val="18"/>
        <w:szCs w:val="18"/>
      </w:rPr>
      <w:t>软件</w:t>
    </w:r>
    <w:r>
      <w:rPr>
        <w:rFonts w:hint="eastAsia" w:ascii="宋体" w:hAnsi="宋体" w:cs="宋体"/>
        <w:sz w:val="18"/>
        <w:szCs w:val="18"/>
        <w:lang w:val="en-US" w:eastAsia="zh-CN"/>
      </w:rPr>
      <w:t>安全等级分析报告</w:t>
    </w:r>
    <w:r>
      <w:rPr>
        <w:rFonts w:hint="eastAsia" w:ascii="宋体" w:hAnsi="宋体" w:cs="宋体"/>
        <w:sz w:val="18"/>
        <w:szCs w:val="18"/>
      </w:rPr>
      <w:t xml:space="preserve">        杭州三坛医疗科技有限公司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3080"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3077"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A1FC"/>
    <w:multiLevelType w:val="multilevel"/>
    <w:tmpl w:val="CC67A1FC"/>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ED30677E"/>
    <w:multiLevelType w:val="singleLevel"/>
    <w:tmpl w:val="ED30677E"/>
    <w:lvl w:ilvl="0" w:tentative="0">
      <w:start w:val="1"/>
      <w:numFmt w:val="decimal"/>
      <w:suff w:val="space"/>
      <w:lvlText w:val="%1."/>
      <w:lvlJc w:val="left"/>
      <w:pPr>
        <w:ind w:left="420"/>
      </w:pPr>
    </w:lvl>
  </w:abstractNum>
  <w:abstractNum w:abstractNumId="2">
    <w:nsid w:val="16C636F9"/>
    <w:multiLevelType w:val="singleLevel"/>
    <w:tmpl w:val="16C636F9"/>
    <w:lvl w:ilvl="0" w:tentative="0">
      <w:start w:val="1"/>
      <w:numFmt w:val="decimal"/>
      <w:suff w:val="space"/>
      <w:lvlText w:val="%1."/>
      <w:lvlJc w:val="left"/>
      <w:pPr>
        <w:ind w:left="420"/>
      </w:pPr>
    </w:lvl>
  </w:abstractNum>
  <w:abstractNum w:abstractNumId="3">
    <w:nsid w:val="347C033A"/>
    <w:multiLevelType w:val="singleLevel"/>
    <w:tmpl w:val="347C033A"/>
    <w:lvl w:ilvl="0" w:tentative="0">
      <w:start w:val="1"/>
      <w:numFmt w:val="lowerLetter"/>
      <w:suff w:val="space"/>
      <w:lvlText w:val="%1)"/>
      <w:lvlJc w:val="left"/>
    </w:lvl>
  </w:abstractNum>
  <w:abstractNum w:abstractNumId="4">
    <w:nsid w:val="61DA644A"/>
    <w:multiLevelType w:val="singleLevel"/>
    <w:tmpl w:val="61DA644A"/>
    <w:lvl w:ilvl="0" w:tentative="0">
      <w:start w:val="1"/>
      <w:numFmt w:val="lowerLetter"/>
      <w:suff w:val="space"/>
      <w:lvlText w:val="%1."/>
      <w:lvlJc w:val="left"/>
      <w:pPr>
        <w:ind w:left="84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Dc2OThlMTk4MmZmNTViZDJkMjkyYTlmYjI3Zjc3YmUifQ=="/>
  </w:docVars>
  <w:rsids>
    <w:rsidRoot w:val="00172A27"/>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1C1E"/>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2A27"/>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5FC5"/>
    <w:rsid w:val="003B6A9C"/>
    <w:rsid w:val="003C764E"/>
    <w:rsid w:val="003E0E79"/>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600D9"/>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D7891"/>
    <w:rsid w:val="004E22D2"/>
    <w:rsid w:val="004E7C07"/>
    <w:rsid w:val="004F0BAD"/>
    <w:rsid w:val="004F1684"/>
    <w:rsid w:val="004F186B"/>
    <w:rsid w:val="004F250A"/>
    <w:rsid w:val="004F5BBF"/>
    <w:rsid w:val="004F7109"/>
    <w:rsid w:val="00501A58"/>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5272"/>
    <w:rsid w:val="006366F7"/>
    <w:rsid w:val="00640EC6"/>
    <w:rsid w:val="00643CDF"/>
    <w:rsid w:val="00645416"/>
    <w:rsid w:val="00646134"/>
    <w:rsid w:val="00646244"/>
    <w:rsid w:val="006526E0"/>
    <w:rsid w:val="0065321D"/>
    <w:rsid w:val="00654FBB"/>
    <w:rsid w:val="00655787"/>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47DCB"/>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3EA2"/>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2A0"/>
    <w:rsid w:val="00BC073A"/>
    <w:rsid w:val="00BC3227"/>
    <w:rsid w:val="00BC38B6"/>
    <w:rsid w:val="00BC6D44"/>
    <w:rsid w:val="00BD3504"/>
    <w:rsid w:val="00BD6483"/>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C5850"/>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A42D8"/>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5435D5"/>
    <w:rsid w:val="01DC42AF"/>
    <w:rsid w:val="023B41E4"/>
    <w:rsid w:val="029C4E0F"/>
    <w:rsid w:val="03BD1882"/>
    <w:rsid w:val="03DC63F8"/>
    <w:rsid w:val="042B6370"/>
    <w:rsid w:val="046567E0"/>
    <w:rsid w:val="04825CED"/>
    <w:rsid w:val="04874DB9"/>
    <w:rsid w:val="06424F68"/>
    <w:rsid w:val="064A41CA"/>
    <w:rsid w:val="06856B77"/>
    <w:rsid w:val="06C02FA9"/>
    <w:rsid w:val="07ED17A8"/>
    <w:rsid w:val="082259F6"/>
    <w:rsid w:val="083F5FC5"/>
    <w:rsid w:val="089B2A83"/>
    <w:rsid w:val="08B723D9"/>
    <w:rsid w:val="09015385"/>
    <w:rsid w:val="09487DA9"/>
    <w:rsid w:val="096F758F"/>
    <w:rsid w:val="09CD2069"/>
    <w:rsid w:val="09CE3F66"/>
    <w:rsid w:val="0ABD0E34"/>
    <w:rsid w:val="0AFA4E89"/>
    <w:rsid w:val="0AFC0C8E"/>
    <w:rsid w:val="0BC04B5B"/>
    <w:rsid w:val="0BD134C6"/>
    <w:rsid w:val="0C1B3A72"/>
    <w:rsid w:val="0C203FDB"/>
    <w:rsid w:val="0C421CC7"/>
    <w:rsid w:val="0C9F28F2"/>
    <w:rsid w:val="0CA524ED"/>
    <w:rsid w:val="0D350680"/>
    <w:rsid w:val="0D677A30"/>
    <w:rsid w:val="0D820E9B"/>
    <w:rsid w:val="0E357378"/>
    <w:rsid w:val="0E6F1389"/>
    <w:rsid w:val="0ED00A2A"/>
    <w:rsid w:val="0F3E79D9"/>
    <w:rsid w:val="0F463345"/>
    <w:rsid w:val="0FDB4551"/>
    <w:rsid w:val="10214517"/>
    <w:rsid w:val="1048272D"/>
    <w:rsid w:val="10CC0671"/>
    <w:rsid w:val="10D72462"/>
    <w:rsid w:val="11136C3F"/>
    <w:rsid w:val="1232410E"/>
    <w:rsid w:val="124C64B2"/>
    <w:rsid w:val="12F7077E"/>
    <w:rsid w:val="131A47FF"/>
    <w:rsid w:val="133E3ED2"/>
    <w:rsid w:val="13442980"/>
    <w:rsid w:val="135022D6"/>
    <w:rsid w:val="13777A62"/>
    <w:rsid w:val="1379171F"/>
    <w:rsid w:val="13C768B7"/>
    <w:rsid w:val="13DF694E"/>
    <w:rsid w:val="144365DB"/>
    <w:rsid w:val="14DA6A05"/>
    <w:rsid w:val="14E34B79"/>
    <w:rsid w:val="15C24939"/>
    <w:rsid w:val="15D07A0F"/>
    <w:rsid w:val="15D51448"/>
    <w:rsid w:val="16444FD4"/>
    <w:rsid w:val="16645206"/>
    <w:rsid w:val="16946575"/>
    <w:rsid w:val="16D73DD9"/>
    <w:rsid w:val="16F83352"/>
    <w:rsid w:val="17544DE4"/>
    <w:rsid w:val="189819BB"/>
    <w:rsid w:val="18DF22A8"/>
    <w:rsid w:val="18E85A66"/>
    <w:rsid w:val="190101F5"/>
    <w:rsid w:val="1907687E"/>
    <w:rsid w:val="19755D81"/>
    <w:rsid w:val="19CE2367"/>
    <w:rsid w:val="19FA06B4"/>
    <w:rsid w:val="1A064FA9"/>
    <w:rsid w:val="1A6A0BD9"/>
    <w:rsid w:val="1AF82C22"/>
    <w:rsid w:val="1B6E28F3"/>
    <w:rsid w:val="1B8358CF"/>
    <w:rsid w:val="1B980332"/>
    <w:rsid w:val="1BA376C3"/>
    <w:rsid w:val="1BCA5D48"/>
    <w:rsid w:val="1C2F51E9"/>
    <w:rsid w:val="1C555850"/>
    <w:rsid w:val="1CC278D1"/>
    <w:rsid w:val="1D0472AE"/>
    <w:rsid w:val="1D547ECA"/>
    <w:rsid w:val="1DE816D8"/>
    <w:rsid w:val="1EB77D4D"/>
    <w:rsid w:val="1ECF01B1"/>
    <w:rsid w:val="1EFA772E"/>
    <w:rsid w:val="1FB22161"/>
    <w:rsid w:val="200744A5"/>
    <w:rsid w:val="20100FCC"/>
    <w:rsid w:val="2017315C"/>
    <w:rsid w:val="207A4CA1"/>
    <w:rsid w:val="207F2ED9"/>
    <w:rsid w:val="20813F9F"/>
    <w:rsid w:val="20FB0C43"/>
    <w:rsid w:val="21130C92"/>
    <w:rsid w:val="2132220D"/>
    <w:rsid w:val="213D605E"/>
    <w:rsid w:val="21492994"/>
    <w:rsid w:val="21D02AC2"/>
    <w:rsid w:val="231429AD"/>
    <w:rsid w:val="233B4566"/>
    <w:rsid w:val="234F613B"/>
    <w:rsid w:val="238738C1"/>
    <w:rsid w:val="23A21002"/>
    <w:rsid w:val="23AC7F3C"/>
    <w:rsid w:val="23B802E6"/>
    <w:rsid w:val="23B84598"/>
    <w:rsid w:val="249C4B33"/>
    <w:rsid w:val="24DF436A"/>
    <w:rsid w:val="25525B7A"/>
    <w:rsid w:val="263257FF"/>
    <w:rsid w:val="26664B99"/>
    <w:rsid w:val="267605D9"/>
    <w:rsid w:val="26A44ACA"/>
    <w:rsid w:val="273216AC"/>
    <w:rsid w:val="284F3E71"/>
    <w:rsid w:val="285C4E28"/>
    <w:rsid w:val="28B2591A"/>
    <w:rsid w:val="28E82A95"/>
    <w:rsid w:val="28EE38E7"/>
    <w:rsid w:val="2900447D"/>
    <w:rsid w:val="299B40A7"/>
    <w:rsid w:val="29A92DEA"/>
    <w:rsid w:val="29BF103F"/>
    <w:rsid w:val="2A1D6EBF"/>
    <w:rsid w:val="2A35653F"/>
    <w:rsid w:val="2A422E89"/>
    <w:rsid w:val="2A98199F"/>
    <w:rsid w:val="2B6E3BCB"/>
    <w:rsid w:val="2BA7176B"/>
    <w:rsid w:val="2C034364"/>
    <w:rsid w:val="2CC8262F"/>
    <w:rsid w:val="2D185597"/>
    <w:rsid w:val="2D1A30FF"/>
    <w:rsid w:val="2D235D55"/>
    <w:rsid w:val="2DC81931"/>
    <w:rsid w:val="2E093550"/>
    <w:rsid w:val="2E3504DA"/>
    <w:rsid w:val="2EDA1597"/>
    <w:rsid w:val="2EE34903"/>
    <w:rsid w:val="2F5011A6"/>
    <w:rsid w:val="2FD15513"/>
    <w:rsid w:val="300A4DE2"/>
    <w:rsid w:val="305852E0"/>
    <w:rsid w:val="309B4D3C"/>
    <w:rsid w:val="30A40EC5"/>
    <w:rsid w:val="30BB29CC"/>
    <w:rsid w:val="30F21C19"/>
    <w:rsid w:val="30F57622"/>
    <w:rsid w:val="31244962"/>
    <w:rsid w:val="31342D86"/>
    <w:rsid w:val="316077A1"/>
    <w:rsid w:val="326A525C"/>
    <w:rsid w:val="32C1777A"/>
    <w:rsid w:val="33260ED7"/>
    <w:rsid w:val="33330009"/>
    <w:rsid w:val="33795790"/>
    <w:rsid w:val="343E76C2"/>
    <w:rsid w:val="34BD0009"/>
    <w:rsid w:val="34D27BCB"/>
    <w:rsid w:val="3506167F"/>
    <w:rsid w:val="35FA59C1"/>
    <w:rsid w:val="364371CF"/>
    <w:rsid w:val="372446DF"/>
    <w:rsid w:val="375B60BA"/>
    <w:rsid w:val="377D0A8F"/>
    <w:rsid w:val="37E12580"/>
    <w:rsid w:val="384C25C5"/>
    <w:rsid w:val="385D5E8A"/>
    <w:rsid w:val="387935AF"/>
    <w:rsid w:val="387F4B11"/>
    <w:rsid w:val="389D5C5A"/>
    <w:rsid w:val="38C71FF8"/>
    <w:rsid w:val="38CD7F0B"/>
    <w:rsid w:val="38E93D5C"/>
    <w:rsid w:val="391A1D57"/>
    <w:rsid w:val="397A5F2F"/>
    <w:rsid w:val="39EF1629"/>
    <w:rsid w:val="3A7E2C19"/>
    <w:rsid w:val="3AC50F76"/>
    <w:rsid w:val="3AC544A5"/>
    <w:rsid w:val="3B505F5A"/>
    <w:rsid w:val="3BCB59AF"/>
    <w:rsid w:val="3BE5337D"/>
    <w:rsid w:val="3BE66704"/>
    <w:rsid w:val="3BF11694"/>
    <w:rsid w:val="3C695A60"/>
    <w:rsid w:val="3C800B87"/>
    <w:rsid w:val="3D5B369C"/>
    <w:rsid w:val="3D717531"/>
    <w:rsid w:val="3E0402E1"/>
    <w:rsid w:val="3E5D1D7F"/>
    <w:rsid w:val="3EAD3FF2"/>
    <w:rsid w:val="3EFB5137"/>
    <w:rsid w:val="3FDF58EC"/>
    <w:rsid w:val="4036797A"/>
    <w:rsid w:val="40427545"/>
    <w:rsid w:val="405C6D27"/>
    <w:rsid w:val="406C10B5"/>
    <w:rsid w:val="40D13A18"/>
    <w:rsid w:val="41095A96"/>
    <w:rsid w:val="41690A8B"/>
    <w:rsid w:val="41B971AE"/>
    <w:rsid w:val="41BA50B5"/>
    <w:rsid w:val="423D3095"/>
    <w:rsid w:val="42FE0AFB"/>
    <w:rsid w:val="43054D3B"/>
    <w:rsid w:val="435669B6"/>
    <w:rsid w:val="43817C1C"/>
    <w:rsid w:val="4387217C"/>
    <w:rsid w:val="43F01D50"/>
    <w:rsid w:val="44355D7B"/>
    <w:rsid w:val="443864E5"/>
    <w:rsid w:val="449E6A9A"/>
    <w:rsid w:val="44DF5036"/>
    <w:rsid w:val="452C1D4F"/>
    <w:rsid w:val="4548578E"/>
    <w:rsid w:val="46036D89"/>
    <w:rsid w:val="46B10F8A"/>
    <w:rsid w:val="46B42FE2"/>
    <w:rsid w:val="46C740D6"/>
    <w:rsid w:val="46DC584E"/>
    <w:rsid w:val="46E43754"/>
    <w:rsid w:val="47E27F67"/>
    <w:rsid w:val="48695CBB"/>
    <w:rsid w:val="49DC4FD3"/>
    <w:rsid w:val="49F759D9"/>
    <w:rsid w:val="4A3D03BF"/>
    <w:rsid w:val="4A5747B3"/>
    <w:rsid w:val="4A711ED6"/>
    <w:rsid w:val="4A8B724C"/>
    <w:rsid w:val="4ACB6DE8"/>
    <w:rsid w:val="4AD53E5C"/>
    <w:rsid w:val="4B6D6660"/>
    <w:rsid w:val="4B827514"/>
    <w:rsid w:val="4BA66AA8"/>
    <w:rsid w:val="4BB01824"/>
    <w:rsid w:val="4BBE070A"/>
    <w:rsid w:val="4C491EFF"/>
    <w:rsid w:val="4CCC1731"/>
    <w:rsid w:val="4D094E4E"/>
    <w:rsid w:val="4E1B77F1"/>
    <w:rsid w:val="4E591C58"/>
    <w:rsid w:val="4F354E58"/>
    <w:rsid w:val="4F5A0048"/>
    <w:rsid w:val="503716B9"/>
    <w:rsid w:val="507B496A"/>
    <w:rsid w:val="5099071F"/>
    <w:rsid w:val="50A266C2"/>
    <w:rsid w:val="50C627AE"/>
    <w:rsid w:val="512050B1"/>
    <w:rsid w:val="51E8429E"/>
    <w:rsid w:val="525D0CD5"/>
    <w:rsid w:val="5287407D"/>
    <w:rsid w:val="529B5A78"/>
    <w:rsid w:val="533D3242"/>
    <w:rsid w:val="53440281"/>
    <w:rsid w:val="53990240"/>
    <w:rsid w:val="54801ED7"/>
    <w:rsid w:val="54D0771E"/>
    <w:rsid w:val="550147B4"/>
    <w:rsid w:val="55102BD1"/>
    <w:rsid w:val="552D5FC7"/>
    <w:rsid w:val="553D0B98"/>
    <w:rsid w:val="557F67C9"/>
    <w:rsid w:val="55A3251B"/>
    <w:rsid w:val="55A80809"/>
    <w:rsid w:val="55A86353"/>
    <w:rsid w:val="55E44D10"/>
    <w:rsid w:val="55FE53B5"/>
    <w:rsid w:val="56975C76"/>
    <w:rsid w:val="56AB7420"/>
    <w:rsid w:val="56B346C8"/>
    <w:rsid w:val="56F31FC9"/>
    <w:rsid w:val="57470542"/>
    <w:rsid w:val="57946A5E"/>
    <w:rsid w:val="5866689F"/>
    <w:rsid w:val="58AB5F07"/>
    <w:rsid w:val="58C7320C"/>
    <w:rsid w:val="59A37AE1"/>
    <w:rsid w:val="59B07D7E"/>
    <w:rsid w:val="59BF34B1"/>
    <w:rsid w:val="5A380204"/>
    <w:rsid w:val="5A3E4EE2"/>
    <w:rsid w:val="5A7502FF"/>
    <w:rsid w:val="5AF3757D"/>
    <w:rsid w:val="5B5D33AB"/>
    <w:rsid w:val="5B811760"/>
    <w:rsid w:val="5C47475A"/>
    <w:rsid w:val="5D5C52AB"/>
    <w:rsid w:val="5DC84EF5"/>
    <w:rsid w:val="5E0E60C7"/>
    <w:rsid w:val="5E1A1095"/>
    <w:rsid w:val="5EAC59B2"/>
    <w:rsid w:val="5EB46D14"/>
    <w:rsid w:val="5F112876"/>
    <w:rsid w:val="5F2E0DDF"/>
    <w:rsid w:val="60005AF8"/>
    <w:rsid w:val="60574B54"/>
    <w:rsid w:val="60AE667E"/>
    <w:rsid w:val="61BB1F30"/>
    <w:rsid w:val="624C4B8C"/>
    <w:rsid w:val="63B80C56"/>
    <w:rsid w:val="6460746C"/>
    <w:rsid w:val="6474742E"/>
    <w:rsid w:val="64EA4C89"/>
    <w:rsid w:val="6514410C"/>
    <w:rsid w:val="65361B65"/>
    <w:rsid w:val="65565F07"/>
    <w:rsid w:val="659B740E"/>
    <w:rsid w:val="65BC5B47"/>
    <w:rsid w:val="65C6504D"/>
    <w:rsid w:val="65CD2C4C"/>
    <w:rsid w:val="66242F1E"/>
    <w:rsid w:val="66336C28"/>
    <w:rsid w:val="6636079B"/>
    <w:rsid w:val="669A6505"/>
    <w:rsid w:val="6779459B"/>
    <w:rsid w:val="678C0CD3"/>
    <w:rsid w:val="67B1461E"/>
    <w:rsid w:val="67C57C10"/>
    <w:rsid w:val="67C76B62"/>
    <w:rsid w:val="68C44E29"/>
    <w:rsid w:val="68DD3610"/>
    <w:rsid w:val="68DE57E3"/>
    <w:rsid w:val="68DE760C"/>
    <w:rsid w:val="68ED6160"/>
    <w:rsid w:val="691A24A5"/>
    <w:rsid w:val="695004A4"/>
    <w:rsid w:val="6952072F"/>
    <w:rsid w:val="69862D14"/>
    <w:rsid w:val="69A03B9C"/>
    <w:rsid w:val="6A0961F6"/>
    <w:rsid w:val="6A647785"/>
    <w:rsid w:val="6B056ADC"/>
    <w:rsid w:val="6B193DBF"/>
    <w:rsid w:val="6B9635F7"/>
    <w:rsid w:val="6BFA444F"/>
    <w:rsid w:val="6CB36E0F"/>
    <w:rsid w:val="6D3616EB"/>
    <w:rsid w:val="6D8048D6"/>
    <w:rsid w:val="6DD441C2"/>
    <w:rsid w:val="6DF77DE5"/>
    <w:rsid w:val="6E8C4C77"/>
    <w:rsid w:val="6F1F73FB"/>
    <w:rsid w:val="6F332BDE"/>
    <w:rsid w:val="6FA0739F"/>
    <w:rsid w:val="6FBB6B4F"/>
    <w:rsid w:val="6FFB0C26"/>
    <w:rsid w:val="706B1ABE"/>
    <w:rsid w:val="70916448"/>
    <w:rsid w:val="709F14BB"/>
    <w:rsid w:val="70D5676F"/>
    <w:rsid w:val="70F17A6D"/>
    <w:rsid w:val="71056A9C"/>
    <w:rsid w:val="712C4FB7"/>
    <w:rsid w:val="71925268"/>
    <w:rsid w:val="71984336"/>
    <w:rsid w:val="71B95492"/>
    <w:rsid w:val="71C279D8"/>
    <w:rsid w:val="71E37B4C"/>
    <w:rsid w:val="7216318F"/>
    <w:rsid w:val="72441128"/>
    <w:rsid w:val="739A675C"/>
    <w:rsid w:val="73A10CF5"/>
    <w:rsid w:val="74296F99"/>
    <w:rsid w:val="75F66322"/>
    <w:rsid w:val="76291BEB"/>
    <w:rsid w:val="765B5200"/>
    <w:rsid w:val="76E0667F"/>
    <w:rsid w:val="77BC12C0"/>
    <w:rsid w:val="78105424"/>
    <w:rsid w:val="78611332"/>
    <w:rsid w:val="78A81248"/>
    <w:rsid w:val="78B30F34"/>
    <w:rsid w:val="79445D3C"/>
    <w:rsid w:val="79725843"/>
    <w:rsid w:val="79A77B6A"/>
    <w:rsid w:val="7A4E52EF"/>
    <w:rsid w:val="7A5629EB"/>
    <w:rsid w:val="7AAE791B"/>
    <w:rsid w:val="7AF04B1D"/>
    <w:rsid w:val="7B325921"/>
    <w:rsid w:val="7BA56885"/>
    <w:rsid w:val="7BB36982"/>
    <w:rsid w:val="7C213A84"/>
    <w:rsid w:val="7C651711"/>
    <w:rsid w:val="7C6C4BBA"/>
    <w:rsid w:val="7CAA54CB"/>
    <w:rsid w:val="7CB04D00"/>
    <w:rsid w:val="7CBF5CF4"/>
    <w:rsid w:val="7CCD095A"/>
    <w:rsid w:val="7D17110D"/>
    <w:rsid w:val="7D931500"/>
    <w:rsid w:val="7E9B61C0"/>
    <w:rsid w:val="7EE34CC4"/>
    <w:rsid w:val="7F7C4A47"/>
    <w:rsid w:val="7FAC5B64"/>
    <w:rsid w:val="7FB1222B"/>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60" w:lineRule="auto"/>
      <w:jc w:val="both"/>
    </w:pPr>
    <w:rPr>
      <w:rFonts w:ascii="Arial" w:hAnsi="Arial" w:eastAsia="宋体" w:cs="Arial"/>
      <w:kern w:val="2"/>
      <w:sz w:val="24"/>
      <w:szCs w:val="24"/>
      <w:lang w:val="en-US" w:eastAsia="zh-CN" w:bidi="ar-SA"/>
    </w:rPr>
  </w:style>
  <w:style w:type="paragraph" w:styleId="3">
    <w:name w:val="heading 1"/>
    <w:basedOn w:val="1"/>
    <w:next w:val="1"/>
    <w:qFormat/>
    <w:uiPriority w:val="0"/>
    <w:pPr>
      <w:keepNext/>
      <w:keepLines/>
      <w:numPr>
        <w:ilvl w:val="0"/>
        <w:numId w:val="1"/>
      </w:numPr>
      <w:spacing w:before="100" w:beforeLines="100" w:after="100" w:afterLines="100"/>
      <w:ind w:left="431" w:hanging="431"/>
      <w:outlineLvl w:val="0"/>
    </w:pPr>
    <w:rPr>
      <w:b/>
      <w:bCs/>
      <w:kern w:val="44"/>
      <w:sz w:val="28"/>
      <w:szCs w:val="44"/>
    </w:rPr>
  </w:style>
  <w:style w:type="paragraph" w:styleId="4">
    <w:name w:val="heading 2"/>
    <w:basedOn w:val="1"/>
    <w:next w:val="1"/>
    <w:qFormat/>
    <w:uiPriority w:val="0"/>
    <w:pPr>
      <w:keepNext/>
      <w:keepLines/>
      <w:numPr>
        <w:ilvl w:val="1"/>
        <w:numId w:val="1"/>
      </w:numPr>
      <w:spacing w:before="50" w:beforeLines="50" w:after="50" w:afterLines="50"/>
      <w:ind w:left="573" w:hanging="573"/>
      <w:outlineLvl w:val="1"/>
    </w:pPr>
    <w:rPr>
      <w:b/>
      <w:bCs/>
      <w:sz w:val="24"/>
      <w:szCs w:val="32"/>
    </w:rPr>
  </w:style>
  <w:style w:type="paragraph" w:styleId="5">
    <w:name w:val="heading 3"/>
    <w:basedOn w:val="1"/>
    <w:next w:val="1"/>
    <w:qFormat/>
    <w:uiPriority w:val="0"/>
    <w:pPr>
      <w:keepNext/>
      <w:keepLines/>
      <w:numPr>
        <w:ilvl w:val="2"/>
        <w:numId w:val="1"/>
      </w:numPr>
      <w:spacing w:before="50" w:beforeLines="50" w:after="50" w:afterLines="50"/>
      <w:outlineLvl w:val="2"/>
    </w:pPr>
    <w:rPr>
      <w:b/>
      <w:bCs/>
      <w:sz w:val="24"/>
      <w:szCs w:val="32"/>
    </w:rPr>
  </w:style>
  <w:style w:type="paragraph" w:styleId="6">
    <w:name w:val="heading 4"/>
    <w:basedOn w:val="1"/>
    <w:next w:val="1"/>
    <w:link w:val="3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1"/>
      </w:numPr>
      <w:spacing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1"/>
      </w:numPr>
      <w:spacing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1"/>
      </w:numPr>
      <w:spacing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Document Map"/>
    <w:basedOn w:val="1"/>
    <w:link w:val="43"/>
    <w:semiHidden/>
    <w:unhideWhenUsed/>
    <w:qFormat/>
    <w:uiPriority w:val="99"/>
    <w:rPr>
      <w:rFonts w:ascii="宋体"/>
      <w:sz w:val="18"/>
      <w:szCs w:val="18"/>
    </w:rPr>
  </w:style>
  <w:style w:type="paragraph" w:styleId="14">
    <w:name w:val="annotation text"/>
    <w:basedOn w:val="1"/>
    <w:link w:val="40"/>
    <w:unhideWhenUsed/>
    <w:qFormat/>
    <w:uiPriority w:val="99"/>
    <w:rPr>
      <w:sz w:val="20"/>
      <w:szCs w:val="20"/>
    </w:rPr>
  </w:style>
  <w:style w:type="paragraph" w:styleId="15">
    <w:name w:val="Body Text"/>
    <w:basedOn w:val="1"/>
    <w:qFormat/>
    <w:uiPriority w:val="0"/>
    <w:rPr>
      <w:color w:val="FF0000"/>
    </w:rPr>
  </w:style>
  <w:style w:type="paragraph" w:styleId="16">
    <w:name w:val="Body Text Indent"/>
    <w:basedOn w:val="1"/>
    <w:link w:val="46"/>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ind w:left="840" w:leftChars="400"/>
    </w:pPr>
  </w:style>
  <w:style w:type="paragraph" w:styleId="19">
    <w:name w:val="toc 8"/>
    <w:basedOn w:val="1"/>
    <w:next w:val="1"/>
    <w:semiHidden/>
    <w:qFormat/>
    <w:uiPriority w:val="0"/>
    <w:pPr>
      <w:ind w:left="2940" w:leftChars="1400"/>
    </w:pPr>
  </w:style>
  <w:style w:type="paragraph" w:styleId="20">
    <w:name w:val="Balloon Text"/>
    <w:basedOn w:val="1"/>
    <w:link w:val="42"/>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line="240" w:lineRule="auto"/>
    </w:p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1"/>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22"/>
    <w:rPr>
      <w:b/>
      <w:bCs/>
    </w:rPr>
  </w:style>
  <w:style w:type="character" w:styleId="34">
    <w:name w:val="Emphasis"/>
    <w:basedOn w:val="32"/>
    <w:qFormat/>
    <w:uiPriority w:val="20"/>
    <w:rPr>
      <w:i/>
      <w:iCs/>
    </w:rPr>
  </w:style>
  <w:style w:type="character" w:styleId="35">
    <w:name w:val="Hyperlink"/>
    <w:basedOn w:val="32"/>
    <w:qFormat/>
    <w:uiPriority w:val="99"/>
    <w:rPr>
      <w:color w:val="0000FF"/>
      <w:u w:val="single"/>
    </w:rPr>
  </w:style>
  <w:style w:type="character" w:styleId="36">
    <w:name w:val="annotation reference"/>
    <w:basedOn w:val="32"/>
    <w:semiHidden/>
    <w:unhideWhenUsed/>
    <w:qFormat/>
    <w:uiPriority w:val="99"/>
    <w:rPr>
      <w:sz w:val="16"/>
      <w:szCs w:val="16"/>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8">
    <w:name w:val="标题 4 Char"/>
    <w:basedOn w:val="32"/>
    <w:link w:val="6"/>
    <w:qFormat/>
    <w:uiPriority w:val="9"/>
    <w:rPr>
      <w:rFonts w:asciiTheme="majorHAnsi" w:hAnsiTheme="majorHAnsi" w:eastAsiaTheme="majorEastAsia" w:cstheme="majorBidi"/>
      <w:b/>
      <w:bCs/>
      <w:kern w:val="2"/>
      <w:sz w:val="24"/>
      <w:szCs w:val="28"/>
    </w:rPr>
  </w:style>
  <w:style w:type="paragraph" w:styleId="39">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40">
    <w:name w:val="批注文字 Char"/>
    <w:basedOn w:val="32"/>
    <w:link w:val="14"/>
    <w:qFormat/>
    <w:uiPriority w:val="99"/>
    <w:rPr>
      <w:kern w:val="2"/>
    </w:rPr>
  </w:style>
  <w:style w:type="character" w:customStyle="1" w:styleId="41">
    <w:name w:val="批注主题 Char"/>
    <w:basedOn w:val="40"/>
    <w:link w:val="29"/>
    <w:semiHidden/>
    <w:qFormat/>
    <w:uiPriority w:val="99"/>
    <w:rPr>
      <w:b/>
      <w:bCs/>
      <w:kern w:val="2"/>
    </w:rPr>
  </w:style>
  <w:style w:type="character" w:customStyle="1" w:styleId="42">
    <w:name w:val="批注框文本 Char"/>
    <w:basedOn w:val="32"/>
    <w:link w:val="20"/>
    <w:semiHidden/>
    <w:qFormat/>
    <w:uiPriority w:val="99"/>
    <w:rPr>
      <w:rFonts w:ascii="Microsoft YaHei UI" w:eastAsia="Microsoft YaHei UI"/>
      <w:kern w:val="2"/>
      <w:sz w:val="18"/>
      <w:szCs w:val="18"/>
    </w:rPr>
  </w:style>
  <w:style w:type="character" w:customStyle="1" w:styleId="43">
    <w:name w:val="文档结构图 Char"/>
    <w:basedOn w:val="32"/>
    <w:link w:val="13"/>
    <w:semiHidden/>
    <w:qFormat/>
    <w:uiPriority w:val="99"/>
    <w:rPr>
      <w:rFonts w:ascii="宋体" w:hAnsi="Arial" w:cs="Arial"/>
      <w:kern w:val="2"/>
      <w:sz w:val="18"/>
      <w:szCs w:val="18"/>
    </w:rPr>
  </w:style>
  <w:style w:type="paragraph" w:customStyle="1" w:styleId="44">
    <w:name w:val="WPSOffice手动目录 1"/>
    <w:qFormat/>
    <w:uiPriority w:val="0"/>
    <w:rPr>
      <w:rFonts w:ascii="Times New Roman" w:hAnsi="Times New Roman" w:eastAsia="宋体" w:cs="Times New Roman"/>
      <w:lang w:val="en-US" w:eastAsia="zh-CN" w:bidi="ar-SA"/>
    </w:rPr>
  </w:style>
  <w:style w:type="paragraph" w:customStyle="1" w:styleId="45">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46">
    <w:name w:val="正文文本缩进 Char"/>
    <w:link w:val="16"/>
    <w:qFormat/>
    <w:uiPriority w:val="0"/>
  </w:style>
  <w:style w:type="paragraph" w:customStyle="1" w:styleId="47">
    <w:name w:val="表格文本"/>
    <w:basedOn w:val="1"/>
    <w:qFormat/>
    <w:uiPriority w:val="0"/>
    <w:pPr>
      <w:tabs>
        <w:tab w:val="left" w:pos="420"/>
      </w:tabs>
      <w:spacing w:line="240" w:lineRule="auto"/>
      <w:ind w:firstLine="0" w:firstLineChars="0"/>
    </w:pPr>
    <w:rPr>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5"/>
    <customShpInfo spid="_x0000_s3076"/>
    <customShpInfo spid="_x0000_s3073"/>
    <customShpInfo spid="_x0000_s3074"/>
    <customShpInfo spid="_x0000_s3078"/>
    <customShpInfo spid="_x0000_s3079"/>
    <customShpInfo spid="_x0000_s3080"/>
    <customShpInfo spid="_x0000_s3077"/>
    <customShpInfo spid="_x0000_s3081"/>
    <customShpInfo spid="_x0000_s2052"/>
    <customShpInfo spid="_x0000_s2053"/>
    <customShpInfo spid="_x0000_s2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2B6AF-0818-4570-9E5A-860604A553A9}">
  <ds:schemaRefs/>
</ds:datastoreItem>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29</Pages>
  <Words>14785</Words>
  <Characters>15127</Characters>
  <Lines>63</Lines>
  <Paragraphs>17</Paragraphs>
  <TotalTime>0</TotalTime>
  <ScaleCrop>false</ScaleCrop>
  <LinksUpToDate>false</LinksUpToDate>
  <CharactersWithSpaces>16569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JununLee</cp:lastModifiedBy>
  <cp:lastPrinted>2021-11-09T08:19:00Z</cp:lastPrinted>
  <dcterms:modified xsi:type="dcterms:W3CDTF">2022-09-30T08:38:21Z</dcterms:modified>
  <dc:title>二、项目开发计划</dc:title>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79FB90D9E4F84AA0A85035B6517B1947</vt:lpwstr>
  </property>
</Properties>
</file>